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Comunicato Stampa</w:t>
      </w:r>
    </w:p>
    <w:p>
      <w:pPr>
        <w:pStyle w:val="Normal.0"/>
        <w:rPr>
          <w:rFonts w:ascii="Verdana" w:cs="Verdana" w:hAnsi="Verdana" w:eastAsia="Verdana"/>
          <w:i w:val="1"/>
          <w:i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LA ONLUS DEL GRUPPO GATTINONI TORNA A SOSTENERE PROGETTI UMANITARI: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UN MONDO DI AMICI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SI ADOPERA IN AFRICA E IN ITALIA.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Dopo la pandemia, con il ritorno a solidi risultati commerciali e finanziari 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ancora pi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forte la volont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del Gruppo di impegnarsi in attivit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filantropiche a sostegno di progetti di formazione per giovani, di mobilit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e inclusione.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Nei primi sei mesi dell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anno sono 3 i progetti attivati in Kenya e in Italia.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0000"/>
          <w:sz w:val="20"/>
          <w:szCs w:val="2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  <w:u w:val="single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Milano, 3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1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 maggio 2023. </w:t>
      </w:r>
      <w:r>
        <w:rPr>
          <w:rFonts w:ascii="Verdana" w:hAnsi="Verdana"/>
          <w:sz w:val="20"/>
          <w:szCs w:val="20"/>
          <w:rtl w:val="0"/>
          <w:lang w:val="it-IT"/>
        </w:rPr>
        <w:t>Restituire, far circolare buone energie, sentirsi parte attiva del mondo. Dopo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impasse generato dalla pandemia, i ritmi e i volumi del Gruppo Gattinoni sono tornati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alveo della stabilit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anzi,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anniversario dei 40anni del Gruppo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stata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occasione per festeggiare risultati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anno finanziario 2022.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anno in corso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iniziato sotto i migliori auspici per tutte le tre divisioni del Gruppo, con un andamento a fine primo trimestre in crescita del 20% rispetto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obiettivo di budget.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Condividere il buon andamento ne aumenta il valore, con una coerenza di fondo, perch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etica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uno dei pilastri del Gruppo.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etica dai tanti risvolti, dal giusto guadagno per tutta la filiera alla sostenibilit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-compensazione ambientale, dal welfare per le risorse umane al sostegno a iniziative umanitarie.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 progetti attivati nel primo semestre 2023 sono in linea con i valori che ispirano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azienda, e che hanno le radici nel 2005, anno in cui era stata fondata la Onlus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Un Mondo di Amici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che nel tempo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riuscita a concretizzare obiettivi significativi in Uganda, costruendo e finanziando un Medical Center a sud di Kampala e un piccolo ospedale a nord della stessa regione.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La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FORMAZIONE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 è </w:t>
      </w:r>
      <w:r>
        <w:rPr>
          <w:rFonts w:ascii="Verdana" w:hAnsi="Verdana"/>
          <w:sz w:val="20"/>
          <w:szCs w:val="20"/>
          <w:rtl w:val="0"/>
          <w:lang w:val="it-IT"/>
        </w:rPr>
        <w:t>un elemento fondamentale in qualsiasi tipo di societ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da quella occidentale a quella dei Paesi in via di sviluppo. Gattinoni ha scelto di finanziare il percorso di studi di due risorse in Kenya, insieme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Associazione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Karibujua </w:t>
      </w:r>
      <w:r>
        <w:rPr>
          <w:rFonts w:ascii="Verdana" w:hAnsi="Verdana"/>
          <w:sz w:val="20"/>
          <w:szCs w:val="20"/>
          <w:rtl w:val="0"/>
          <w:lang w:val="it-IT"/>
        </w:rPr>
        <w:t>che si occupa di promozione sociale. Karibujua contribuisce allo sviluppo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istruzione in tre regioni remote del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Kenya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: la Lower Tana Delta Conservancy, la Mbulua Conservancy (vicino al Parco Nazionale Tsavo West) e la Olderkesi Conservancy (nel Masai Mara), ritenendo che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il diritto all'istruzione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sia la chiave per cambiare e migliorare la propria vita e che lo scambio culturale e il rispetto nei confronti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altro siano la strada da percorrere per lo sviluppo individuale e collettivo. La missione di Karibujua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quella di selezionare e premiare studenti meritevoli attraverso borse di studio che consentono loro di frequentare la scuola superiore, garantendo loro per tutti e quattro gli anni le spese necessarie.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Un Mondo di Amici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finanzia gli studi di Halima Wanala e Issanka Mohamed Goricha, che nel primo trimestre 2023 hanno maturato risultati molto soddisfacenti in tutte le discipline.</w:t>
      </w:r>
    </w:p>
    <w:p>
      <w:pPr>
        <w:pStyle w:val="Normal (Web)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turismo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emblema della mobilit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e la mobilit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ha a che fare necessariamente con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INCLUSIONE</w:t>
      </w:r>
      <w:r>
        <w:rPr>
          <w:rFonts w:ascii="Verdana" w:hAnsi="Verdana"/>
          <w:sz w:val="20"/>
          <w:szCs w:val="20"/>
          <w:rtl w:val="0"/>
          <w:lang w:val="it-IT"/>
        </w:rPr>
        <w:t>.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associazione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Free Wheels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 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un punto di riferimento internazionale per chi vuole intraprendere un cammino vivendo una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condizione di mobilit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ridotta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Attraverso un protocollo ha mappato diversi tra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 pi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importanti Itinerari in Italia </w:t>
      </w:r>
      <w:r>
        <w:rPr>
          <w:rFonts w:ascii="Verdana" w:hAnsi="Verdana"/>
          <w:sz w:val="20"/>
          <w:szCs w:val="20"/>
          <w:rtl w:val="0"/>
          <w:lang w:val="it-IT"/>
        </w:rPr>
        <w:t>e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estero, fra cui il Cammino di San Benedetto, la Via Francigena, la Via di Francesco e il cammino di Santiago. Quest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approccio agli itinerari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stato riconosciuto come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buona pratica europea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anche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Istituto degli itinerari culturali del Consiglio d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Europa. Oggi Free Wheels, nata in provincia di Varese, promuove esperienze emotive accessibili lungo i cammini di tutta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Italia e non solo.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Un Mondo di Amici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sostiene finanziariamente il progetto Klick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s On Ways, che in maggio ha attraversato il Veneto.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itinerario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partito da Negrar di Valpolicella e si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sviluppato in varie tappe: Verona, Lonigo, Vicenza, Camposanpiero, Dolo, Martellago, Monastier di Treviso, Eraclea e Motta di Livenza, fino a Venezia. Durante il percorso sono state visitate tre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Spinali che sono riferimento nazionale per la riabilitazione di persone con lesioni midollari.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stato un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altro viaggio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fatto di incontri, esperienze, scoperte, resilienza, unione, in sella alle carrozzine Klaxon Klick dotate di sistemi elettrici maneggevoli. La finalit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è </w:t>
      </w:r>
      <w:r>
        <w:rPr>
          <w:rFonts w:ascii="Verdana" w:hAnsi="Verdana"/>
          <w:sz w:val="20"/>
          <w:szCs w:val="20"/>
          <w:rtl w:val="0"/>
          <w:lang w:val="it-IT"/>
        </w:rPr>
        <w:t>rendere le persone libere, nel loro stile di vita quotidiano e altrettanto nella dimensione del viaggio.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tema della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MOBILIT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Á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 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alla base anche del terzo progetto.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Croce Verde A.P.M.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la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antica associazione di pubblica assistenza per scopi civili della Citt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Milano</w:t>
      </w:r>
      <w:r>
        <w:rPr>
          <w:rFonts w:ascii="Verdana" w:hAnsi="Verdana"/>
          <w:sz w:val="20"/>
          <w:szCs w:val="20"/>
          <w:rtl w:val="0"/>
          <w:lang w:val="it-IT"/>
        </w:rPr>
        <w:t>. Associazione apolitica e aconfessionale, si fonda sul volontariato, dedicandosi al primo soccorso e ad altri servizi sanitari per i cittadini. I 300 volontari prestano il proprio servizio gratuito 365 notti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anno e nei giorni festivi. Molte sedie portantine sono ancora manuali, il che implica grande sforzo ai soccorritori; i movimenti sono difficili in condizioni di scarsa agibilit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delle scale e peso delle persone che necessitano aiuto.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Un Mondo di Amici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ha permesso di acquistare due portantine cingolate che facilitano il trasporto di pazienti non autonomi; con questa tipologia di sedie, tutti i pazienti sono in grado di essere movimentati.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Commenta Franco Gattinoni, Fondatore e Presidente Gruppo Gattinoni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: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Quando abbiamo fondato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associazione, avevamo come scopo il perseguimento esclusivo di finalit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utilit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sociale. Per una serie di circostanze abbiamo iniziato ad aiutare popolazioni in Uganda, ma non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indispensabile individuare un progetto dall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altra parte del pianeta per rendersi utili. Oggi siamo ancora presenti nel continente africano, perch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é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ci piace pensare che in fondo il mondo sia piccolo, sia da viaggiatori che da sostenitori, ma siamo attivi con la Onlus anche in Lombardia e in generale in Italia. Nella vita siamo stati fortunati, come persone e come azienda, ed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giusto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ridare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po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di questa fortuna a chi ne ha avuta di meno. Anche questo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essere Azienda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atLeast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  <w:rtl w:val="0"/>
          <w:lang w:val="it-IT"/>
        </w:rPr>
        <w:t>Per informazioni alla stampa:</w:t>
      </w:r>
    </w:p>
    <w:p>
      <w:pPr>
        <w:pStyle w:val="Normal.0"/>
        <w:spacing w:line="240" w:lineRule="atLeas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Sara Ferdeghini</w:t>
        <w:tab/>
        <w:tab/>
        <w:tab/>
        <w:tab/>
        <w:tab/>
        <w:tab/>
        <w:tab/>
        <w:tab/>
        <w:t xml:space="preserve">     </w:t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Fonts w:ascii="Verdana" w:hAnsi="Verdana"/>
          <w:sz w:val="18"/>
          <w:szCs w:val="18"/>
          <w:rtl w:val="0"/>
          <w:lang w:val="it-IT"/>
        </w:rPr>
        <w:t xml:space="preserve">   </w:t>
        <w:tab/>
        <w:tab/>
        <w:tab/>
        <w:t xml:space="preserve">       </w:t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cell: 335.7488592</w:t>
        <w:tab/>
        <w:tab/>
        <w:tab/>
        <w:tab/>
        <w:tab/>
        <w:tab/>
        <w:tab/>
        <w:tab/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Ufficio Stampa Gruppo Gattinoni</w:t>
        <w:tab/>
        <w:tab/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Ferdeghini Comunicazione Srl</w:t>
        <w:tab/>
        <w:tab/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it-IT"/>
        </w:rPr>
        <w:t>------------------------------------------------------------------------------------------------------------------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800 persone che condividono lo stesso piacere e la stessa professionalit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nell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il network Mondo di Vacanze e MYNetwork Viaggi&amp;Vacanze. Con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Fonts w:ascii="Verdana" w:cs="Verdana" w:hAnsi="Verdana" w:eastAsia="Verdana"/>
          <w:sz w:val="18"/>
          <w:szCs w:val="18"/>
        </w:rPr>
        <w:br w:type="textWrapping"/>
      </w:r>
      <w:r>
        <w:rPr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Torino, Parma, Udine, Segrate, Treviso e Roma), 120 agenzie di propriet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1500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317750" cy="1172894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172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8"/>
      <w:szCs w:val="18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