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kern w:val="2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kern w:val="2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LA TURCHIA TRAINA LE VENDITE DI EUROPA WORLD</w:t>
      </w:r>
    </w:p>
    <w:p>
      <w:pPr>
        <w:pStyle w:val="Normal.0"/>
        <w:jc w:val="center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 xml:space="preserve">Torino 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15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 xml:space="preserve"> maggio 2023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- E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la </w:t>
      </w:r>
      <w:r>
        <w:rPr>
          <w:rFonts w:ascii="Verdana" w:hAnsi="Verdana"/>
          <w:b w:val="1"/>
          <w:bCs w:val="1"/>
          <w:kern w:val="2"/>
          <w:sz w:val="22"/>
          <w:szCs w:val="22"/>
          <w:rtl w:val="0"/>
          <w:lang w:val="it-IT"/>
        </w:rPr>
        <w:t>Turchia in testa alle vendite di Europa World con performance nettamente superiori sia al 2022 che al 2019.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Le calamit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naturali che lo scorso febbraio hanno colpito una parte del Paese, non hanno per nulla inciso sull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andamento vendite della destinazione Turchia che continua ad essere tra le mete pi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gettonate della programmazione Europa World, grazie sicuramente alla vicinanza con l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Italia ed al ricco patrimonio culturale, naturalistico e eno-gastronomico offerto. La Turchia dispone inoltre di un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offerta di prodotto e servizio molto variegata e capace di soddisfare ogni budget ed esigenza. Elementi che ci consentono di rinnovare costantemente la nostra offerta pensandola per una clientela gi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consolidata high level che per un mercato pi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giovane che desidera scoprire il Paese cercando di contenere i costi, senza per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rinunciare alla presenza di guide preparatissime e alle garanzie offerte da un tour operator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.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kern w:val="2"/>
          <w:sz w:val="22"/>
          <w:szCs w:val="22"/>
          <w:rtl w:val="0"/>
          <w:lang w:val="it-IT"/>
        </w:rPr>
        <w:t>Commenta Daniela Fecchio, titolare Europa World.</w:t>
      </w: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Per il 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 xml:space="preserve">Turchia in Stile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ad esempio - uno degli itinerari pi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richiesti dalla clientela che abbina le mete classiche di Istanbul e Cappadocia, al meglio del servizio e dell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ospitalit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- Europa World ha rinnovato la proposta inserendo soggiorni in strutture alberghiere ancor pi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prestigiose ed affascinanti. </w:t>
      </w: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rtl w:val="0"/>
          <w:lang w:val="it-IT"/>
        </w:rPr>
        <w:t>Il brand di Quality Group ha, inoltre, introdotto un itinerario riservato alla sola Cappadocia, ideale, per chi ha poco tempo ma desidera approfondire la conoscenza di questa regione, e sta lavorando intensamente per inaugurare il 2024 con una programmazione profondamente ripensata e qualificata con proposte insolite.</w:t>
      </w: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rtl w:val="0"/>
          <w:lang w:val="it-IT"/>
        </w:rPr>
        <w:t>Plus della programmazione sono sicuramente le guide professionali locali che collaborano con Europa Word da pi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di un trentennio e che accompagnano tutti i nostri gruppi; veri esperiti, profondi conoscitori della destinazione, molti tra questi archeologi e con laurea in lingua italiana. Questa 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forse la vera discriminiate nella scelta di un viaggio con l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operatore torinese.</w:t>
      </w: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Le scelte messe in atto da Europa World sono, di fatto, premiate dalla clientela composta prettamente da un target con profilo culturale elevato. </w:t>
      </w: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Se il profilo dei viaggiatori Europa World si 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mantenuto costante nel tempo, quello che 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cambiato 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la fascia d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et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della clientela che si 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abbassata attraendo, soprattutto negli ultimi anni, giovani dai 20/25 anni in su; contemporaneamente si assiste a una richiesta sempre maggiore per viaggiatori single che scelgono di esplorare la destinazione in gruppi organizzati.</w:t>
      </w: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rtl w:val="0"/>
          <w:lang w:val="it-IT"/>
        </w:rPr>
        <w:t>In incremento anche i viaggi privati per piccoli gruppi, spesso familiari,  che si affidano a Europa World per la costruzione del loro itinerario di viaggio avvalendosi del supporto di una squadra che vanta di tutta l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esperienza maturata in un trentennio di assoluta e costante attivit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sul territorio. </w:t>
      </w: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c00000"/>
          <w:u w:color="ac082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kern w:val="2"/>
          <w:sz w:val="22"/>
          <w:szCs w:val="22"/>
          <w:rtl w:val="0"/>
          <w:lang w:val="it-IT"/>
        </w:rPr>
        <w:t>Inteso e costante il lavoro svolto da Europa World al fianco degli agenti di viaggio attraverso webinar, incontri di formazione sul prodotto ai quali si aggiunger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anche un fam trip previsto per la prossima primavera.</w:t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Veronica Cappennani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i w:val="1"/>
          <w:iCs w:val="1"/>
          <w:u w:color="ac082f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Sara Ferdeghini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Verdana" w:cs="Verdana" w:hAnsi="Verdana" w:eastAsia="Verdana"/>
          <w:i w:val="1"/>
          <w:iCs w:val="1"/>
          <w:outline w:val="0"/>
          <w:color w:val="c00000"/>
          <w:sz w:val="22"/>
          <w:szCs w:val="22"/>
          <w:u w:color="ac082f"/>
          <w14:textFill>
            <w14:solidFill>
              <w14:srgbClr w14:val="C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</w:pP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Quality Group 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specializzato in un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di unire la qualit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e la cura del prodotto al dinamismo di una grande realt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"http://www.qualitygroup.it"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www.qualitygroup.it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102976" cy="89935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76" cy="899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b w:val="1"/>
        <w:bCs w:val="1"/>
        <w:sz w:val="22"/>
        <w:szCs w:val="22"/>
        <w:rtl w:val="0"/>
        <w:lang w:val="it-IT"/>
      </w:rP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