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Comunicato stampa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ba0c2f"/>
          <w:sz w:val="22"/>
          <w:szCs w:val="22"/>
          <w:u w:color="ba0c2f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PRIMO TRIMESTRE IN CRESCITA PER CDSHOTELS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Style w:val="Hyperlink.0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Style w:val="Hyperlink.0"/>
          <w:rtl w:val="0"/>
          <w:lang w:val="it-IT"/>
        </w:rPr>
        <w:t>Lecce, 1</w:t>
      </w:r>
      <w:r>
        <w:rPr>
          <w:rStyle w:val="Hyperlink.0"/>
          <w:rtl w:val="0"/>
          <w:lang w:val="it-IT"/>
        </w:rPr>
        <w:t>4</w:t>
      </w:r>
      <w:r>
        <w:rPr>
          <w:rStyle w:val="Hyperlink.0"/>
          <w:rtl w:val="0"/>
          <w:lang w:val="it-IT"/>
        </w:rPr>
        <w:t xml:space="preserve"> aprile 2023 - CDSHotels, punto di riferimento per soggiorni balneari in Puglia e Sicilia,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nel primo trimestre del 2023, ha registrato un trend di prenotazioni molto positivo e, nel solo week-end di Pasqua, ha segnato un aumento del fatturato del 30%, rispetto al 2022.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Style w:val="Hyperlink.0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Style w:val="Hyperlink.0"/>
        </w:rPr>
      </w:pPr>
      <w:r>
        <w:rPr>
          <w:rFonts w:ascii="Verdana" w:hAnsi="Verdana"/>
          <w:sz w:val="22"/>
          <w:szCs w:val="22"/>
          <w:rtl w:val="0"/>
          <w:lang w:val="it-IT"/>
        </w:rPr>
        <w:t>Dopo aver chiuso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anno con un +39% rispetto al 2021, CDSHotels rileva proiezioni estremamente positive per la nuova stagione estiva e, alla data dell</w:t>
      </w:r>
      <w:r>
        <w:rPr>
          <w:rFonts w:ascii="Verdana" w:hAnsi="Verdana" w:hint="default"/>
          <w:sz w:val="22"/>
          <w:szCs w:val="22"/>
          <w:rtl w:val="1"/>
          <w:lang w:val="ar-SA" w:bidi="ar-SA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11 aprile, registra un aumento, rispetto al pari periodo del 2022, di circa il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35 %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. Il che fa ben sperare per tutta la stagione.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Style w:val="Hyperlink.0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Style w:val="Hyperlink.0"/>
          <w:rtl w:val="0"/>
          <w:lang w:val="it-IT"/>
        </w:rPr>
        <w:t xml:space="preserve">Anche i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mercati esteri</w:t>
      </w:r>
      <w:r>
        <w:rPr>
          <w:rStyle w:val="Hyperlink.0"/>
          <w:rtl w:val="0"/>
          <w:lang w:val="it-IT"/>
        </w:rPr>
        <w:t xml:space="preserve"> premiano CDSHotels che, tra gruppi e individuali, registra un aumento di circa il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35 %.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Style w:val="Hyperlink.0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Style w:val="Hyperlink.0"/>
          <w:rtl w:val="0"/>
          <w:lang w:val="it-IT"/>
        </w:rPr>
        <w:t xml:space="preserve">Anche il mondo degli eventi </w:t>
      </w:r>
      <w:r>
        <w:rPr>
          <w:rStyle w:val="Hyperlink.0"/>
          <w:rtl w:val="0"/>
          <w:lang w:val="it-IT"/>
        </w:rPr>
        <w:t xml:space="preserve">è </w:t>
      </w:r>
      <w:r>
        <w:rPr>
          <w:rStyle w:val="Hyperlink.0"/>
          <w:rtl w:val="0"/>
          <w:lang w:val="it-IT"/>
        </w:rPr>
        <w:t>ripartito con slancio e, tra gli hotel e resort del gruppo pi</w:t>
      </w:r>
      <w:r>
        <w:rPr>
          <w:rStyle w:val="Hyperlink.0"/>
          <w:rtl w:val="0"/>
          <w:lang w:val="it-IT"/>
        </w:rPr>
        <w:t xml:space="preserve">ù </w:t>
      </w:r>
      <w:r>
        <w:rPr>
          <w:rStyle w:val="Hyperlink.0"/>
          <w:rtl w:val="0"/>
          <w:lang w:val="it-IT"/>
        </w:rPr>
        <w:t>richiesti dal mondo MICE, sale sul podio pi</w:t>
      </w:r>
      <w:r>
        <w:rPr>
          <w:rStyle w:val="Hyperlink.0"/>
          <w:rtl w:val="0"/>
          <w:lang w:val="it-IT"/>
        </w:rPr>
        <w:t xml:space="preserve">ù </w:t>
      </w:r>
      <w:r>
        <w:rPr>
          <w:rStyle w:val="Hyperlink.0"/>
          <w:rtl w:val="0"/>
          <w:lang w:val="it-IT"/>
        </w:rPr>
        <w:t xml:space="preserve">alto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CDSHotels Terrasini - Citt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del Mare.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Style w:val="Hyperlink.0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Style w:val="Hyperlink.0"/>
        </w:rPr>
      </w:pPr>
      <w:r>
        <w:rPr>
          <w:rStyle w:val="Hyperlink.0"/>
          <w:rtl w:val="0"/>
          <w:lang w:val="it-IT"/>
        </w:rPr>
        <w:t>Grazie ai suoi spazi versatili e dotati delle migliori tecnologie, alle ampie aree comuni e spazi esterni e alla sua posizione privilegiata a pochi minuti dall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aeroporto, CDSHotels Terrasini-Citt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Hyperlink.0"/>
          <w:rtl w:val="0"/>
          <w:lang w:val="it-IT"/>
        </w:rPr>
        <w:t>del Mare riesce ad accogliere ogni richiesta della clientela, abbinando ai servizi professionali il piacere di un soggiorno mare, in una delle localit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Hyperlink.0"/>
          <w:rtl w:val="0"/>
          <w:lang w:val="it-IT"/>
        </w:rPr>
        <w:t>pi</w:t>
      </w:r>
      <w:r>
        <w:rPr>
          <w:rStyle w:val="Hyperlink.0"/>
          <w:rtl w:val="0"/>
          <w:lang w:val="it-IT"/>
        </w:rPr>
        <w:t xml:space="preserve">ù </w:t>
      </w:r>
      <w:r>
        <w:rPr>
          <w:rStyle w:val="Hyperlink.0"/>
          <w:rtl w:val="0"/>
          <w:lang w:val="it-IT"/>
        </w:rPr>
        <w:t>belle della Sicilia.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Style w:val="Hyperlink.0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i w:val="1"/>
          <w:iCs w:val="1"/>
          <w:sz w:val="22"/>
          <w:szCs w:val="22"/>
        </w:rPr>
      </w:pP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A pochi minuti dall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aeroporto di Palermo, </w:t>
      </w:r>
      <w:r>
        <w:rPr>
          <w:rFonts w:ascii="Verdana" w:hAnsi="Verdana"/>
          <w:i w:val="1"/>
          <w:iCs w:val="1"/>
          <w:sz w:val="22"/>
          <w:szCs w:val="22"/>
          <w:rtl w:val="0"/>
          <w:lang w:val="de-DE"/>
        </w:rPr>
        <w:t xml:space="preserve">CDSHotels Terrasini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–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Citt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del Mare,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un hotel storico divenuto punto di riferimento per clienti italiani e stranieri che ne apprezzano la posizione a picco sul mare, il contesto verde in cui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inserito che avvolge la struttura, e 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elevata qualit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e variet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di servizio offerta. La struttura che conta di un numero molto generoso di camere - oltre 800 -  registra riempimenti elevati tanto che, all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11 aprile 2023, rispetto alla stessa data del 2022, segna un </w:t>
      </w:r>
      <w:r>
        <w:rPr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>+ 30 % di previsione di fatturato e un amento del mercato estero di circa il 52 %.</w:t>
      </w:r>
      <w:r>
        <w:rPr>
          <w:rFonts w:ascii="Verdana" w:hAnsi="Verdana" w:hint="default"/>
          <w:b w:val="1"/>
          <w:bCs w:val="1"/>
          <w:i w:val="1"/>
          <w:iCs w:val="1"/>
          <w:sz w:val="22"/>
          <w:szCs w:val="22"/>
          <w:rtl w:val="0"/>
          <w:lang w:val="it-IT"/>
        </w:rPr>
        <w:t>”</w:t>
      </w:r>
      <w:r>
        <w:rPr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>.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>Dichiara Ada Miraglia, Direttore Commerciale CDSHotels.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Style w:val="Hyperlink.0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1a1a1a"/>
          <w:sz w:val="29"/>
          <w:szCs w:val="29"/>
          <w:u w:color="1a1a1a"/>
          <w14:textFill>
            <w14:solidFill>
              <w14:srgbClr w14:val="1A1A1A"/>
            </w14:solidFill>
          </w14:textFill>
        </w:rPr>
      </w:pPr>
      <w:r>
        <w:rPr>
          <w:rStyle w:val="Hyperlink.0"/>
          <w:rtl w:val="0"/>
          <w:lang w:val="it-IT"/>
        </w:rPr>
        <w:t>La struttura ospiter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Hyperlink.0"/>
          <w:rtl w:val="0"/>
          <w:lang w:val="it-IT"/>
        </w:rPr>
        <w:t xml:space="preserve">al suo interno la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XXV edizione di Travelexpo, Borsa Globale dei Turismi che dal 14 al 16 aprile</w:t>
      </w:r>
      <w:r>
        <w:rPr>
          <w:rStyle w:val="Hyperlink.0"/>
          <w:rtl w:val="0"/>
          <w:lang w:val="it-IT"/>
        </w:rPr>
        <w:t xml:space="preserve"> porter</w:t>
      </w:r>
      <w:r>
        <w:rPr>
          <w:rStyle w:val="Hyperlink.0"/>
          <w:rtl w:val="0"/>
          <w:lang w:val="it-IT"/>
        </w:rPr>
        <w:t xml:space="preserve">à </w:t>
      </w:r>
      <w:r>
        <w:rPr>
          <w:rStyle w:val="Hyperlink.0"/>
          <w:rtl w:val="0"/>
          <w:lang w:val="it-IT"/>
        </w:rPr>
        <w:t>in Sicilia circa 50 espositori e numerosissimi operatori del settore e stampa che si ritroveranno per riflettere sul mercato e pianificare il turismo del futuro.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Per informazioni</w:t>
      </w:r>
    </w:p>
    <w:p>
      <w:pPr>
        <w:pStyle w:val="Normal.0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"https://cdshotels.it/basiliani/"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https://cdshotels.it/basiliani/</w:t>
      </w:r>
      <w:r>
        <w:rPr/>
        <w:fldChar w:fldCharType="end" w:fldLock="0"/>
      </w:r>
      <w:r>
        <w:rPr>
          <w:rStyle w:val="Hyperlink.0"/>
          <w:rtl w:val="0"/>
          <w:lang w:val="it-IT"/>
        </w:rPr>
        <w:t xml:space="preserve">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"mailto:info@cdshotels.it"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info@cdshotels.it</w:t>
      </w:r>
      <w:r>
        <w:rPr/>
        <w:fldChar w:fldCharType="end" w:fldLock="0"/>
      </w:r>
      <w:r>
        <w:rPr>
          <w:rStyle w:val="Hyperlink.0"/>
          <w:rtl w:val="0"/>
          <w:lang w:val="it-IT"/>
        </w:rPr>
        <w:t xml:space="preserve"> - 0832351321</w:t>
      </w:r>
    </w:p>
    <w:p>
      <w:pPr>
        <w:pStyle w:val="Normal.0"/>
        <w:shd w:val="clear" w:color="auto" w:fill="ffffff"/>
        <w:spacing w:line="240" w:lineRule="atLeast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Hyperlink.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Hyperlink.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Hyperlink.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Hyperlink.0"/>
          <w:rtl w:val="0"/>
          <w:lang w:val="it-IT"/>
        </w:rPr>
        <w:t>, cell: 335.7488592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</w:pPr>
      <w:r>
        <w:rPr>
          <w:rStyle w:val="Nessuno"/>
          <w:rFonts w:ascii="Verdana" w:hAnsi="Verdana"/>
          <w:b w:val="1"/>
          <w:bCs w:val="1"/>
          <w:outline w:val="0"/>
          <w:color w:val="ab0a30"/>
          <w:sz w:val="22"/>
          <w:szCs w:val="22"/>
          <w:u w:color="ab0a30"/>
          <w:rtl w:val="0"/>
          <w:lang w:val="it-IT"/>
          <w14:textFill>
            <w14:solidFill>
              <w14:srgbClr w14:val="AB0A30"/>
            </w14:solidFill>
          </w14:textFill>
        </w:rPr>
        <w:t xml:space="preserve">CDSHotels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una catena alberghiera con sede a Lecce, che gestisce e commercializza 12 strutture, di cui 5 hotel collection a 4 e 5* e 7 villaggi turistici. Le strutture sono dislocate tra Puglia e Sicilia, per un totale di 2.365 unit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abitative, 8.389 posti letto e 8 Spa, di cui il centro benessere 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“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Il Melograno,  presso 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hotel Basiliani, si distingue per essere il maggiore del Salento. Gli ospiti di CDSHotels vivono un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esperienza di ospitalit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italiana che si caratterizza nelle sue due principali linee di prodotto: gli hotel rappresentano indirizzi ideali per soggiorni in coppia, non solo durante la stagione estiva, infatti la proposta wellness e la natura selvaggia punteggiata di citt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à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-scrigno ne fanno destinazioni scenografiche da vivere tutto 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anno. Alle famiglie sono riservati programmi e attivit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dedicate in particolare nei villaggi turistici, in cui gli ospiti vengono accolti in un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atmosfera informale, potendo contare su servizi premurosi e puntuali. Inoltre, CDSHotels si rivolge al segmento Mice, con 36 sale convegni e una proposta attuale che, insieme al territorio circostante, si conferma un binomio vincente. La societ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opera ponendo particolare attenzione alla sostenibilit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ambientale, 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accessibilit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 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innovazione tecnologica.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outline w:val="0"/>
        <w:color w:val="c21532"/>
        <w:u w:color="c21532"/>
        <w14:textFill>
          <w14:solidFill>
            <w14:srgbClr w14:val="C21532"/>
          </w14:solidFill>
        </w14:textFill>
      </w:rPr>
      <w:drawing xmlns:a="http://schemas.openxmlformats.org/drawingml/2006/main">
        <wp:inline distT="0" distB="0" distL="0" distR="0">
          <wp:extent cx="951231" cy="951231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1" cy="9512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rPr>
      <w:rFonts w:ascii="Verdana" w:cs="Verdana" w:hAnsi="Verdana" w:eastAsia="Verdana"/>
      <w:sz w:val="22"/>
      <w:szCs w:val="22"/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sz w:val="22"/>
      <w:szCs w:val="22"/>
      <w:u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