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Comunicato Stampa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sz w:val="16"/>
          <w:szCs w:val="16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GRUPPO GATTINONI CELEBRA I 40 ANNI DALLA FONDAZIONE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E PUNTA A 1 MILIARDO DI EURO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ENTRO LA FINE DEL PIANO TRIENNALE</w:t>
      </w: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Verdana" w:hAnsi="Verdana"/>
          <w:b w:val="1"/>
          <w:bCs w:val="1"/>
          <w:outline w:val="0"/>
          <w:color w:val="c00000"/>
          <w:sz w:val="20"/>
          <w:szCs w:val="20"/>
          <w:rtl w:val="0"/>
          <w:lang w:val="it-IT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Il Gruppo, forte dei risultati 2022 di quasi mezzo miliardo di euro, celebra i 40 anni di attivit</w:t>
      </w:r>
      <w:r>
        <w:rPr>
          <w:rFonts w:ascii="Verdana" w:hAnsi="Verdana" w:hint="default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à</w:t>
      </w: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. Oggi rappresenta una realt</w:t>
      </w:r>
      <w:r>
        <w:rPr>
          <w:rFonts w:ascii="Verdana" w:hAnsi="Verdana" w:hint="default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industriale</w:t>
      </w: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strike w:val="1"/>
          <w:dstrike w:val="0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e</w:t>
      </w: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leader nei settori turismo leisure, business travel ed eventi.</w:t>
      </w:r>
    </w:p>
    <w:p>
      <w:pPr>
        <w:pStyle w:val="List Paragraph"/>
        <w:ind w:left="1068" w:firstLine="0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Verdana" w:hAnsi="Verdana"/>
          <w:b w:val="1"/>
          <w:bCs w:val="1"/>
          <w:outline w:val="0"/>
          <w:color w:val="c00000"/>
          <w:sz w:val="20"/>
          <w:szCs w:val="20"/>
          <w:rtl w:val="0"/>
          <w:lang w:val="it-IT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L</w:t>
      </w:r>
      <w:r>
        <w:rPr>
          <w:rFonts w:ascii="Verdana" w:hAnsi="Verdana" w:hint="default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anniversario non </w:t>
      </w:r>
      <w:r>
        <w:rPr>
          <w:rFonts w:ascii="Verdana" w:hAnsi="Verdana" w:hint="default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è </w:t>
      </w: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un punto di arrivo ma di partenza. Il piano industriale triennale ha l</w:t>
      </w:r>
      <w:r>
        <w:rPr>
          <w:rFonts w:ascii="Verdana" w:hAnsi="Verdana" w:hint="default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obiettivo di raggiungere 1 miliardo di euro di fatturato </w:t>
      </w: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entro la fine del piano triennale.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Milano, 29 marzo 2023. </w:t>
      </w:r>
      <w:r>
        <w:rPr>
          <w:rFonts w:ascii="Verdana" w:hAnsi="Verdana"/>
          <w:sz w:val="20"/>
          <w:szCs w:val="20"/>
          <w:rtl w:val="0"/>
          <w:lang w:val="it-IT"/>
        </w:rPr>
        <w:t>Solidit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>, investimenti, coerenza, lungimiranza, progetti: si pu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ò </w:t>
      </w:r>
      <w:r>
        <w:rPr>
          <w:rFonts w:ascii="Verdana" w:hAnsi="Verdana"/>
          <w:sz w:val="20"/>
          <w:szCs w:val="20"/>
          <w:rtl w:val="0"/>
          <w:lang w:val="it-IT"/>
        </w:rPr>
        <w:t>sintetizzare con queste parole la visione del Gruppo Gattinoni, tra i leader del mercato turistico e degli eventi italian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o, </w:t>
      </w:r>
      <w:r>
        <w:rPr>
          <w:rFonts w:ascii="Verdana" w:hAnsi="Verdana"/>
          <w:sz w:val="20"/>
          <w:szCs w:val="20"/>
          <w:rtl w:val="0"/>
          <w:lang w:val="it-IT"/>
        </w:rPr>
        <w:t>che celebra i 40 anni dalla fondazione.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Un Gruppo mosso dalla passione, dal coraggio e dalla costante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di crescita, volto a perseguire obiettivi di ampliamento e di aumento dei volumi, grazie ad acquisizioni e scelte ramificate. E che ha sempre investito, anche durante il biennio nero del turismo - quello della pandemia - tenendo il timone dritto verso propositi di sviluppo. 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obiettivo imprescindibile era farsi trovare pronti alla ripartenza e Gattinoni ha performato chiudendo il 2022 con un fatturato di 492 milioni di euro (e 1.183 milioni di euro come valore gestito di contratti commerciali). 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Forte di un piano industriale triennale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che beneficer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dei numerosi investimenti stanziati negli anni passati, in tecnologia, acquisizioni societarie, personale e multicanalit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>, il Gruppo punta a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 raggiungere 1 miliardo di euro di fatturato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entro la fine del piano triennale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. 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Spiega Franco Gattinoni, Fondatore e Presidente Gruppo Gattinoni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: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40 anni non sono un punto di arrivo ma un nuovo punto di partenza. Festeggiamo questo importante anniversario forti dei buoni risultati raggiunti nell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anno 2022. Non ho mai smesso di credere nelle opportunit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di sviluppo, anche nei momenti pi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bui dell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attualit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. Abbiamo continuato a investire su tutti i fronti, la ripartenza ci ha trovati pronti e i numeri confermano che le nostre scelte sono state vincenti. Abbiamo obiettivi ambiziosi a fine piano triennale che intendiamo raggiungere attraverso una crescita di tutte e tre le divisioni senza ulteriori investimenti. Solo eventuali acquisizioni di ulteriori agenzie di propriet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potrebbero costituire un acceleratore del business. Sono convinto che il prossimo triennio sar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significativo, autorevole e ricco di soddisfazioni. Il nostro obiettivo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essere un gruppo leader in ambito industriale e ci impegneremo per esserlo anche nelle singole business unit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. 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anno in corso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iniziato sotto i migliori auspici per tutte le tre divisioni del Gruppo (Business Travel, Travel ed Eventi) con un andamento a fine primo trimestre in crescita del 20% rispetto 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obiettivo di budget per quest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anno (635 milioni di euro) che fa prevedere un avvicinamento ai 700 milioni di fatturato previsti da piano triennale per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anno 2024.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Il piano triennale prevede strategie e azioni che verranno perseguite sistematicamente in ogni area di business al fine di raggiungere gli ambiziosi obiettivi.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Nel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Travel </w:t>
      </w:r>
      <w:r>
        <w:rPr>
          <w:rFonts w:ascii="Verdana" w:hAnsi="Verdana"/>
          <w:sz w:val="20"/>
          <w:szCs w:val="20"/>
          <w:rtl w:val="0"/>
          <w:lang w:val="it-IT"/>
        </w:rPr>
        <w:t>si agir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su un doppio binario. Da un lato il progetto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quello di valutare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incremento del numero delle agenzie di viaggio di propriet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da 120 a 200, tramite acquisizioni che metterebbero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acceleratore al business. Sul fronte del prodotto interno, inteso come programmazione creata e brandizzata Gattinoni, si lavorer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per implementare la contrattazione diretta, fornire servizi di alta qualit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personalizzati e studiati su tutte le tipologie di target, con lo scopo di fidelizzare al brand. Il prodotto interno consente un maggiore controllo sulla marginalit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rappresenta un plus per le agenzie sia di propriet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–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120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–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e affiliate - 1.407 in tutta Italia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–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che possono presentarsi al consumatore con soluzioni diverse per ogni cliente. 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inoltre in essere il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rebranding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delle agenzie di viaggio di propriet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>, che 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arco del 2023 metter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al centro il nuovo logo azzurro Gattinoni Travel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– </w:t>
      </w:r>
      <w:r>
        <w:rPr>
          <w:rFonts w:ascii="Verdana" w:hAnsi="Verdana"/>
          <w:sz w:val="20"/>
          <w:szCs w:val="20"/>
          <w:rtl w:val="0"/>
          <w:lang w:val="it-IT"/>
        </w:rPr>
        <w:t>che gi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caratterizza il prodotto viaggi del Gruppo - per identificare i Gattinoni Travel Store. Per le agenzie affiliate avverr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una rivisitazione delle vetrofanie che si ultimer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anno 2024.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Il rebranding non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operazione estetica fine a se stessa, al contrario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una delle armi per indirizzare i viaggiatori in agenzia. Dopo la pandemia le persone hanno manifestato il bisogno di tutele e garanzie, che non possono avere dall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online generico. Gattinoni ha sviluppato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un sito e-commerce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–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gattinonitravel.it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–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nato per il consumatore finale che vuole acquistare online oppure scegliere un prodotto da finalizzare in agenzia. </w:t>
      </w:r>
    </w:p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La divisione Business Travel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potr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garantire alle piccole, medie e grandi imprese il potenziamento dei sistemi tecnologici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, </w:t>
      </w:r>
      <w:r>
        <w:rPr>
          <w:rFonts w:ascii="Verdana" w:hAnsi="Verdana"/>
          <w:sz w:val="20"/>
          <w:szCs w:val="20"/>
          <w:rtl w:val="0"/>
          <w:lang w:val="it-IT"/>
        </w:rPr>
        <w:t>fornendo un servizio veloce, personalizzato 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accesso diretto attraverso la distribuzione di un nuovo </w:t>
      </w:r>
      <w:r>
        <w:rPr>
          <w:rFonts w:ascii="Verdana" w:hAnsi="Verdana" w:hint="default"/>
          <w:sz w:val="20"/>
          <w:szCs w:val="20"/>
          <w:rtl w:val="0"/>
          <w:lang w:val="it-IT"/>
        </w:rPr>
        <w:t>«</w:t>
      </w:r>
      <w:r>
        <w:rPr>
          <w:rFonts w:ascii="Verdana" w:hAnsi="Verdana"/>
          <w:sz w:val="20"/>
          <w:szCs w:val="20"/>
          <w:rtl w:val="0"/>
          <w:lang w:val="it-IT"/>
        </w:rPr>
        <w:t>self booking tool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» </w:t>
      </w:r>
      <w:r>
        <w:rPr>
          <w:rFonts w:ascii="Verdana" w:hAnsi="Verdana"/>
          <w:sz w:val="20"/>
          <w:szCs w:val="20"/>
          <w:rtl w:val="0"/>
          <w:lang w:val="it-IT"/>
        </w:rPr>
        <w:t>per rendere ancor pi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</w:rPr>
        <w:t>efficiente la gestione delle prenotazioni delle trasferte con una maggiore attenzione al controllo dei costi.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area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Eventi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la strategia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posizionarsi per la realizzazione non solo di convention e di incentive, ma anche di grandi eventi. Proprio per questo obiettivo si sta lavorando al potenziamento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area Live Communication e della squadra con nuove risorse e collaborazioni importanti. Inoltre, si sta sviluppando un lavoro verso societ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internazionali per spingere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Italia come destinazione e il lifestyle Made in Italy.</w:t>
      </w:r>
    </w:p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Queste strategie si avvarranno di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un importante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piano di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comunicazione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a supporto, che fa leva sul media mix. Viene stanziato un budget per la comunicazione su media tradizionali e digital. Il brand viene veicolato anche attraverso partnership di riconosciuta visibilit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>, come Nitto ATP Finals, Inter, Basket Torino, Basket Treviso, Radio Deejay e Camomilla.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Commenta Sergio Testi, Direttore Generale Gruppo Gattinoni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: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I risultati attuali sono frutto di continuit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, di investimenti fatti per anni nelle risorse umane e nella tecnologia, ma anche della nostra velocit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di risposta alla domanda di un mercato in forte cambiamento e sempre pi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esigente. Vogliamo essere veloci perch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é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il mondo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veloce. Sia nelle integrazioni che implicano le acquisizioni fatte, sia nell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adattarci alle esigenze del cliente, arrivando anche ad anticiparle. Il network di agenzie affiliate ha saputo resistere alla pandemia, anche grazie agli strumenti che abbiamo messo a disposizione. La divisione Eventi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stata supportata con 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ingresso di professionisti, soprattutto lato creativo, molto esperti. Il Business Travel ci ha fatto ricevere prestigiosi riconoscimenti. Siamo pronti a cogliere tutte le opportunit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del nuovo triennio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Oltre che alla multicanalit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il raggiungimento degli obiettivi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intrinsecamente legato alle Risorse Umane, che rappresentano uno dei pilastri dell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azienda.</w:t>
      </w:r>
    </w:p>
    <w:p>
      <w:pPr>
        <w:pStyle w:val="Normal.0"/>
        <w:jc w:val="both"/>
        <w:rPr>
          <w:rFonts w:ascii="Verdana" w:cs="Verdana" w:hAnsi="Verdana" w:eastAsia="Verdana"/>
          <w:strike w:val="1"/>
          <w:dstrike w:val="0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Verdana" w:hAnsi="Verdana"/>
          <w:sz w:val="20"/>
          <w:szCs w:val="20"/>
          <w:u w:color="b00004"/>
          <w:rtl w:val="0"/>
          <w:lang w:val="it-IT"/>
        </w:rPr>
        <w:t xml:space="preserve">Ad oggi il Gruppo Gattinoni conta </w:t>
      </w:r>
      <w:r>
        <w:rPr>
          <w:rFonts w:ascii="Verdana" w:hAnsi="Verdana"/>
          <w:b w:val="1"/>
          <w:bCs w:val="1"/>
          <w:sz w:val="20"/>
          <w:szCs w:val="20"/>
          <w:u w:color="b00004"/>
          <w:rtl w:val="0"/>
          <w:lang w:val="it-IT"/>
        </w:rPr>
        <w:t>800 fra dipendenti e collaboratori</w:t>
      </w:r>
      <w:r>
        <w:rPr>
          <w:rFonts w:ascii="Verdana" w:hAnsi="Verdana"/>
          <w:sz w:val="20"/>
          <w:szCs w:val="20"/>
          <w:u w:color="b00004"/>
          <w:rtl w:val="0"/>
          <w:lang w:val="it-IT"/>
        </w:rPr>
        <w:t>; nell</w:t>
      </w:r>
      <w:r>
        <w:rPr>
          <w:rFonts w:ascii="Verdana" w:hAnsi="Verdana" w:hint="default"/>
          <w:sz w:val="20"/>
          <w:szCs w:val="20"/>
          <w:u w:color="b00004"/>
          <w:rtl w:val="0"/>
          <w:lang w:val="it-IT"/>
        </w:rPr>
        <w:t>’</w:t>
      </w:r>
      <w:r>
        <w:rPr>
          <w:rFonts w:ascii="Verdana" w:hAnsi="Verdana"/>
          <w:sz w:val="20"/>
          <w:szCs w:val="20"/>
          <w:u w:color="b00004"/>
          <w:rtl w:val="0"/>
          <w:lang w:val="it-IT"/>
        </w:rPr>
        <w:t>ultimo trimestre sono state confermate 80 nuove assunzioni a cui ne seguiranno altre nei prossimi mesi. Sono in cantiere attivit</w:t>
      </w:r>
      <w:r>
        <w:rPr>
          <w:rFonts w:ascii="Verdana" w:hAnsi="Verdana" w:hint="default"/>
          <w:sz w:val="20"/>
          <w:szCs w:val="20"/>
          <w:u w:color="b00004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b00004"/>
          <w:rtl w:val="0"/>
          <w:lang w:val="it-IT"/>
        </w:rPr>
        <w:t>per attrarre i giovani, attraverso piani di carriera e azioni di comunicazione dedicate e sono attive collaborazioni con universit</w:t>
      </w:r>
      <w:r>
        <w:rPr>
          <w:rFonts w:ascii="Verdana" w:hAnsi="Verdana" w:hint="default"/>
          <w:sz w:val="20"/>
          <w:szCs w:val="20"/>
          <w:u w:color="b00004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u w:color="b00004"/>
          <w:rtl w:val="0"/>
          <w:lang w:val="it-IT"/>
        </w:rPr>
        <w:t>ed enti. Rimangono alcune formule di Smart working per coniugare meglio vita professionale e privata. Sono programmati restyling delle sedi principali per renderle pi</w:t>
      </w:r>
      <w:r>
        <w:rPr>
          <w:rFonts w:ascii="Verdana" w:hAnsi="Verdana" w:hint="default"/>
          <w:sz w:val="20"/>
          <w:szCs w:val="20"/>
          <w:u w:color="b00004"/>
          <w:rtl w:val="0"/>
          <w:lang w:val="it-IT"/>
        </w:rPr>
        <w:t xml:space="preserve">ù </w:t>
      </w:r>
      <w:r>
        <w:rPr>
          <w:rFonts w:ascii="Verdana" w:hAnsi="Verdana"/>
          <w:sz w:val="20"/>
          <w:szCs w:val="20"/>
          <w:u w:color="b00004"/>
          <w:rtl w:val="0"/>
          <w:lang w:val="it-IT"/>
        </w:rPr>
        <w:t xml:space="preserve">friendly per chi le vive. </w:t>
      </w:r>
    </w:p>
    <w:p>
      <w:pPr>
        <w:pStyle w:val="Normal.0"/>
        <w:rPr>
          <w:rFonts w:ascii="Verdana" w:cs="Verdana" w:hAnsi="Verdana" w:eastAsia="Verdana"/>
          <w:strike w:val="1"/>
          <w:dstrike w:val="0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Attualmente il Gruppo Gattinoni si compone di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8 sedi</w:t>
      </w:r>
      <w:r>
        <w:rPr>
          <w:rFonts w:ascii="Verdana" w:hAnsi="Verdana"/>
          <w:sz w:val="20"/>
          <w:szCs w:val="20"/>
          <w:rtl w:val="0"/>
          <w:lang w:val="it-IT"/>
        </w:rPr>
        <w:t>: agli hub di Milano, Torino e Bologna si aggiungono le sedi operative di Monza, Lecco, Rimini, Roma e, novit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2023, Treviso. Questa tematica si collega a quello delle Risorse Umane perch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é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consente di delocalizzare, di generare posti di lavoro in molteplici citt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à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Un altro valore ispiratore del Gruppo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rappresentato dall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Etica. Un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etica concreta.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In termini di business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azienda crede nel concetto di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giusto guadagno</w:t>
      </w:r>
      <w:r>
        <w:rPr>
          <w:rFonts w:ascii="Verdana" w:hAnsi="Verdana" w:hint="default"/>
          <w:sz w:val="20"/>
          <w:szCs w:val="20"/>
          <w:rtl w:val="0"/>
          <w:lang w:val="it-IT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>, che equilibra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attivit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scevra da speculazioni e al contempo tutela la filiera. I fornitori vengono accuratamente selezionati in base alla concordanza di valori e alla loro trasparenza. La Onlus aziendale 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arco del prossimo triennio si trasformer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in Fondazione, per portare avanti i progetti umanitari in modo pi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</w:rPr>
        <w:t>strutturato. Non da ultimo il tema della sostenibilit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>, che viene declinato in un percorso importante che riguarda tutte le business unit del Gruppo, in partnership con la startup Up2You: dai tour a impatto zero agli eventi in cui la certificazione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emissione di Co2 viene compensata attraverso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adesione a progetti green certificati che hanno come obiettivo la compensazione o la non emissione di Co2, e ancora nel Business Travel, con azioni di certificazione delle trasferte o attraverso la recente adesione al programma SAF Corporate di Air France KLM che si inserisce perfettamente nel percorso intrapreso verso la Carbon neutrality.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line="240" w:lineRule="atLeast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Normal.0"/>
        <w:spacing w:line="240" w:lineRule="atLeast"/>
        <w:rPr>
          <w:rFonts w:ascii="Verdana" w:cs="Verdana" w:hAnsi="Verdana" w:eastAsia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  <w:rtl w:val="0"/>
          <w:lang w:val="it-IT"/>
        </w:rPr>
        <w:t>Per informazioni alla stampa:</w:t>
      </w:r>
    </w:p>
    <w:p>
      <w:pPr>
        <w:pStyle w:val="Normal.0"/>
        <w:spacing w:line="240" w:lineRule="atLeast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  <w:t>Sara Ferdeghini</w:t>
        <w:tab/>
        <w:tab/>
        <w:tab/>
        <w:tab/>
        <w:tab/>
        <w:tab/>
        <w:tab/>
        <w:tab/>
        <w:t xml:space="preserve">     </w:t>
      </w:r>
    </w:p>
    <w:p>
      <w:pPr>
        <w:pStyle w:val="Normal.0"/>
        <w:spacing w:line="240" w:lineRule="atLeast"/>
        <w:rPr>
          <w:rFonts w:ascii="Verdana" w:cs="Verdana" w:hAnsi="Verdana" w:eastAsia="Verdana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Fonts w:ascii="Verdana" w:hAnsi="Verdana"/>
          <w:sz w:val="18"/>
          <w:szCs w:val="18"/>
          <w:rtl w:val="0"/>
          <w:lang w:val="it-IT"/>
        </w:rPr>
        <w:t xml:space="preserve">   </w:t>
        <w:tab/>
        <w:tab/>
        <w:tab/>
        <w:t xml:space="preserve">       </w:t>
      </w:r>
    </w:p>
    <w:p>
      <w:pPr>
        <w:pStyle w:val="Normal.0"/>
        <w:spacing w:line="240" w:lineRule="atLeast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cell: 335.7488592</w:t>
        <w:tab/>
        <w:tab/>
        <w:tab/>
        <w:tab/>
        <w:tab/>
        <w:tab/>
        <w:tab/>
        <w:tab/>
      </w:r>
    </w:p>
    <w:p>
      <w:pPr>
        <w:pStyle w:val="Normal.0"/>
        <w:spacing w:line="240" w:lineRule="atLeast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Ufficio Stampa Gruppo Gattinoni</w:t>
        <w:tab/>
        <w:tab/>
      </w:r>
    </w:p>
    <w:p>
      <w:pPr>
        <w:pStyle w:val="Normal.0"/>
        <w:spacing w:line="240" w:lineRule="atLeast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Ferdeghini Comunicazione Srl</w:t>
        <w:tab/>
        <w:tab/>
      </w:r>
    </w:p>
    <w:p>
      <w:pPr>
        <w:pStyle w:val="Normal.0"/>
        <w:spacing w:line="240" w:lineRule="atLeast"/>
      </w:pPr>
      <w:r>
        <w:rPr>
          <w:rFonts w:ascii="Verdana" w:cs="Verdana" w:hAnsi="Verdana" w:eastAsia="Verdana"/>
          <w:sz w:val="18"/>
          <w:szCs w:val="18"/>
        </w:rPr>
        <w:tab/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  <w:jc w:val="cent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  <w:drawing xmlns:a="http://schemas.openxmlformats.org/drawingml/2006/main">
        <wp:inline distT="0" distB="0" distL="0" distR="0">
          <wp:extent cx="2317750" cy="1172894"/>
          <wp:effectExtent l="0" t="0" r="0" b="0"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11728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