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BENTORNATA CINA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Torino, 14 marzo 2023 -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Dopo tre anni di chiusura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la Cina riapre al turismo e Mistral Tour Internazionale riprende 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operativit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sulla destinazione.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Una ripartenza facilitata dalla presenza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del personale e delle guide in esclusiva parlanti italiano, formate nel corso degli ultimi 15 anni, pronte fin da subito ad accogliere i turisti di Mistral Tour.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La programmazione dei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viaggi individuali e di gruppo 2023 sar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disponibile </w:t>
      </w:r>
      <w:r>
        <w:rPr>
          <w:rFonts w:ascii="Verdana" w:hAnsi="Verdana"/>
          <w:sz w:val="22"/>
          <w:szCs w:val="22"/>
          <w:rtl w:val="0"/>
          <w:lang w:val="it-IT"/>
        </w:rPr>
        <w:t>dalla prossima settimana nel sito web e in una apposita landing page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Era una notizia che attendavamo da tempo: la Cina ha finalmente riaperto al turismo. Ma  la sorpresa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grande sar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tornare a viaggiare in Cina e lasciarsi sorprendere dall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evoluzione che ha avuto il paese in questi anni. La Cina si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evoluta, soprattutto tecnologicamente, e sono certo che questo cambiamento avr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contribuito ad accrescerne il fascino inserendosi e convivendo perfettamente con la sua storia millenaria.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Tutti i servizi ricettivi e di trasporto sono pienamente operativi dato che il turismo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interno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ha continuato ad operare nel corso di questi ultimi due anni e noi abbiamo sostenuto i nostri uffici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locali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nella lunga attesa di questa riapertura dei confini al turismo.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Afferma Michele Serra, Presidente Quality Group.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