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4A" w:rsidRDefault="00CD6A4A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</w:p>
    <w:p w:rsidR="001A6680" w:rsidRDefault="00230707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Comunicato stampa</w:t>
      </w:r>
    </w:p>
    <w:p w:rsidR="001A6680" w:rsidRDefault="001A6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CD6A4A" w:rsidRDefault="00CD6A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</w:p>
    <w:p w:rsidR="001A6680" w:rsidRDefault="00230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L’ACCORDO CON SCALAPAY E BESAFE</w:t>
      </w:r>
      <w:sdt>
        <w:sdtPr>
          <w:tag w:val="goog_rdk_0"/>
          <w:id w:val="-159931580"/>
        </w:sdtPr>
        <w:sdtEndPr/>
        <w:sdtContent>
          <w:r>
            <w:rPr>
              <w:rFonts w:ascii="Verdana" w:eastAsia="Verdana" w:hAnsi="Verdana" w:cs="Verdana"/>
              <w:b/>
              <w:color w:val="000000"/>
            </w:rPr>
            <w:t xml:space="preserve"> GROUP</w:t>
          </w:r>
        </w:sdtContent>
      </w:sdt>
      <w:r>
        <w:rPr>
          <w:rFonts w:ascii="Verdana" w:eastAsia="Verdana" w:hAnsi="Verdana" w:cs="Verdana"/>
          <w:b/>
          <w:color w:val="000000"/>
        </w:rPr>
        <w:t xml:space="preserve"> AGEVOLERA’ SEMPRE PIU’ LE STRUTTURE RICETTIVE AD INTEGRARE IL METODO DI PAGAMENTO </w:t>
      </w:r>
    </w:p>
    <w:p w:rsidR="001A6680" w:rsidRDefault="00230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“BUY NOW PAY LATER”</w:t>
      </w:r>
    </w:p>
    <w:p w:rsidR="001A6680" w:rsidRDefault="001A6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1A6680" w:rsidRDefault="00CD6A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Milano, 6</w:t>
      </w:r>
      <w:r w:rsidR="00230707">
        <w:rPr>
          <w:rFonts w:ascii="Verdana" w:eastAsia="Verdana" w:hAnsi="Verdana" w:cs="Verdana"/>
          <w:i/>
          <w:color w:val="000000"/>
          <w:sz w:val="20"/>
          <w:szCs w:val="20"/>
        </w:rPr>
        <w:t xml:space="preserve"> febbraio 2023. </w:t>
      </w:r>
    </w:p>
    <w:p w:rsidR="001A6680" w:rsidRDefault="001A6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1A6680" w:rsidRDefault="00230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 formula di pagamento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Buy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Now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Pay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Later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è ancora più semplice da far utilizzare al cliente finale se viene integrata nei sistemi di pagamento delle strutture ricettive. Con questo obiettivo preciso, Scalapay ha quindi interesse a siglare accordi con i fornitori di tecnologia per il mondo alberg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hiero e, la recente partnership siglata con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BeSafe</w:t>
      </w:r>
      <w:proofErr w:type="spellEnd"/>
      <w:sdt>
        <w:sdtPr>
          <w:tag w:val="goog_rdk_1"/>
          <w:id w:val="-814881445"/>
        </w:sdtPr>
        <w:sdtEndPr/>
        <w:sdtContent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 Group</w:t>
          </w:r>
        </w:sdtContent>
      </w:sdt>
      <w:r>
        <w:rPr>
          <w:rFonts w:ascii="Verdana" w:eastAsia="Verdana" w:hAnsi="Verdana" w:cs="Verdana"/>
          <w:color w:val="000000"/>
          <w:sz w:val="20"/>
          <w:szCs w:val="20"/>
        </w:rPr>
        <w:t>, è un ulteriore passo avanti in questa direzione.</w:t>
      </w:r>
    </w:p>
    <w:p w:rsidR="001A6680" w:rsidRDefault="001A6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1A6680" w:rsidRDefault="00230707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BeSafe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Group è un’azienda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insurtech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specializzata nel settore dell’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hospitality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e del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travel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che dal 2017 progetta, sviluppa, e distribuisce prodotti per operatori di strutture ricettive e i loro ospiti, con l’obiettivo di digitalizzare l’offerta dei serviz</w:t>
      </w:r>
      <w:r>
        <w:rPr>
          <w:rFonts w:ascii="Verdana" w:eastAsia="Verdana" w:hAnsi="Verdana" w:cs="Verdana"/>
          <w:color w:val="000000"/>
          <w:sz w:val="20"/>
          <w:szCs w:val="20"/>
        </w:rPr>
        <w:t>i.</w:t>
      </w:r>
    </w:p>
    <w:p w:rsidR="001A6680" w:rsidRDefault="001A6680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1A6680" w:rsidRDefault="00230707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 </w:t>
      </w:r>
      <w:sdt>
        <w:sdtPr>
          <w:tag w:val="goog_rdk_2"/>
          <w:id w:val="922146873"/>
        </w:sdtPr>
        <w:sdtEndPr/>
        <w:sdtContent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servizi e i </w:t>
          </w:r>
        </w:sdtContent>
      </w:sdt>
      <w:r>
        <w:rPr>
          <w:rFonts w:ascii="Verdana" w:eastAsia="Verdana" w:hAnsi="Verdana" w:cs="Verdana"/>
          <w:color w:val="000000"/>
          <w:sz w:val="20"/>
          <w:szCs w:val="20"/>
        </w:rPr>
        <w:t xml:space="preserve">prodotti 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BeSafe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disponibili sul mercato su cui Scalapay supporterà l’operatore sono diversi, da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BeSafe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Rate, la tariffa prepagata con assicurazione di viaggio inclusa, personalizzata in base alle</w:t>
      </w:r>
    </w:p>
    <w:p w:rsidR="001A6680" w:rsidRDefault="00230707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esigenze delle strutture ricettive</w:t>
      </w:r>
      <w:sdt>
        <w:sdtPr>
          <w:tag w:val="goog_rdk_3"/>
          <w:id w:val="1945722718"/>
        </w:sdtPr>
        <w:sdtEndPr/>
        <w:sdtContent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,</w:t>
          </w:r>
        </w:sdtContent>
      </w:sdt>
      <w:r>
        <w:rPr>
          <w:rFonts w:ascii="Verdana" w:eastAsia="Verdana" w:hAnsi="Verdana" w:cs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BeSafe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il gateway di pagamento disegnato per il mondo dell’ospitalità con funzionalità create appositamente per il settore ricettivo, tra cui la riconciliazione automatizzata, integrazione con la tariffa assicurata, piani di rateizzazione e bonific</w:t>
      </w:r>
      <w:r>
        <w:rPr>
          <w:rFonts w:ascii="Verdana" w:eastAsia="Verdana" w:hAnsi="Verdana" w:cs="Verdana"/>
          <w:color w:val="000000"/>
          <w:sz w:val="20"/>
          <w:szCs w:val="20"/>
        </w:rPr>
        <w:t>i istantanei senza costi aggiuntivi.</w:t>
      </w:r>
    </w:p>
    <w:p w:rsidR="001A6680" w:rsidRDefault="001A6680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1A6680" w:rsidRDefault="00230707">
      <w:pPr>
        <w:shd w:val="clear" w:color="auto" w:fill="FFFFFF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>Commenta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Alessandro Bartolucci - CEO &amp; Co-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Founder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BeSafe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Group: </w:t>
      </w:r>
      <w:r>
        <w:rPr>
          <w:rFonts w:ascii="Verdana" w:eastAsia="Verdana" w:hAnsi="Verdana" w:cs="Verdana"/>
          <w:color w:val="000000"/>
          <w:sz w:val="20"/>
          <w:szCs w:val="20"/>
        </w:rPr>
        <w:t>“</w:t>
      </w:r>
      <w:r>
        <w:rPr>
          <w:rFonts w:ascii="Verdana" w:eastAsia="Verdana" w:hAnsi="Verdana" w:cs="Verdana"/>
          <w:i/>
          <w:sz w:val="20"/>
          <w:szCs w:val="20"/>
        </w:rPr>
        <w:t xml:space="preserve">La partnership con Scalapay segna un altro importante traguardo per lo sviluppo del nostro gateway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BeSafe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Pay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. Da oggi, i nostri clienti potranno acceder</w:t>
      </w:r>
      <w:r>
        <w:rPr>
          <w:rFonts w:ascii="Verdana" w:eastAsia="Verdana" w:hAnsi="Verdana" w:cs="Verdana"/>
          <w:i/>
          <w:sz w:val="20"/>
          <w:szCs w:val="20"/>
        </w:rPr>
        <w:t xml:space="preserve">e al servizio di rateizzazione di Scalapay direttamente dalla nostra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dashboard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, senza rinunciare alle funzionalità che permettono di automatizzare i processi di pagamento e migliorare la gestione delle prenotazioni”.</w:t>
      </w:r>
    </w:p>
    <w:p w:rsidR="001A6680" w:rsidRDefault="001A6680">
      <w:pPr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p w:rsidR="001A6680" w:rsidRDefault="001A6680">
      <w:pPr>
        <w:rPr>
          <w:rFonts w:ascii="Verdana" w:eastAsia="Verdana" w:hAnsi="Verdana" w:cs="Verdana"/>
          <w:sz w:val="20"/>
          <w:szCs w:val="20"/>
        </w:rPr>
      </w:pPr>
    </w:p>
    <w:p w:rsidR="001A6680" w:rsidRDefault="00230707">
      <w:pPr>
        <w:shd w:val="clear" w:color="auto" w:fill="FFFFFF"/>
        <w:jc w:val="both"/>
        <w:rPr>
          <w:rFonts w:ascii="Verdana" w:eastAsia="Verdana" w:hAnsi="Verdana" w:cs="Verdana"/>
          <w:i/>
          <w:sz w:val="20"/>
          <w:szCs w:val="20"/>
        </w:rPr>
      </w:pPr>
      <w:bookmarkStart w:id="2" w:name="_heading=h.gjdgxs" w:colFirst="0" w:colLast="0"/>
      <w:bookmarkEnd w:id="2"/>
      <w:r>
        <w:rPr>
          <w:rFonts w:ascii="Verdana" w:eastAsia="Verdana" w:hAnsi="Verdana" w:cs="Verdana"/>
          <w:color w:val="000000"/>
          <w:sz w:val="20"/>
          <w:szCs w:val="20"/>
        </w:rPr>
        <w:t xml:space="preserve">Commenta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Matteo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Ciccalè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, Partnership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Director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Travel di Scalapay: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"La collaborazione con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BeSafe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Group </w:t>
      </w:r>
      <w:r>
        <w:rPr>
          <w:rFonts w:ascii="Verdana" w:eastAsia="Verdana" w:hAnsi="Verdana" w:cs="Verdana"/>
          <w:i/>
          <w:sz w:val="20"/>
          <w:szCs w:val="20"/>
        </w:rPr>
        <w:t xml:space="preserve">per noi è un ulteriore importante tassello per la crescita nel settore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hospitality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BeSafe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è una realtà in grande crescita nel mondo del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travel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che offre prodott</w:t>
      </w:r>
      <w:r>
        <w:rPr>
          <w:rFonts w:ascii="Verdana" w:eastAsia="Verdana" w:hAnsi="Verdana" w:cs="Verdana"/>
          <w:i/>
          <w:sz w:val="20"/>
          <w:szCs w:val="20"/>
        </w:rPr>
        <w:t xml:space="preserve">i che vanno incontro alle esigenze di un mondo sempre più digitalizzato, offrendo una procedura di pagamento semplice e veloce, e noi siamo orgogliosi di essere loro partner”. </w:t>
      </w:r>
    </w:p>
    <w:p w:rsidR="001A6680" w:rsidRDefault="001A6680">
      <w:pPr>
        <w:shd w:val="clear" w:color="auto" w:fill="FFFFFF"/>
        <w:jc w:val="both"/>
        <w:rPr>
          <w:rFonts w:ascii="Verdana" w:eastAsia="Verdana" w:hAnsi="Verdana" w:cs="Verdana"/>
          <w:i/>
          <w:sz w:val="20"/>
          <w:szCs w:val="20"/>
        </w:rPr>
      </w:pPr>
      <w:bookmarkStart w:id="3" w:name="_heading=h.fnlwqi8sfb47" w:colFirst="0" w:colLast="0"/>
      <w:bookmarkEnd w:id="3"/>
    </w:p>
    <w:p w:rsidR="001A6680" w:rsidRDefault="001A6680">
      <w:pPr>
        <w:widowControl w:val="0"/>
        <w:jc w:val="both"/>
        <w:rPr>
          <w:rFonts w:ascii="Verdana" w:eastAsia="Verdana" w:hAnsi="Verdana" w:cs="Verdana"/>
          <w:b/>
          <w:color w:val="C00000"/>
          <w:sz w:val="20"/>
          <w:szCs w:val="20"/>
        </w:rPr>
      </w:pPr>
    </w:p>
    <w:p w:rsidR="001A6680" w:rsidRDefault="00230707">
      <w:pPr>
        <w:widowControl w:val="0"/>
        <w:jc w:val="both"/>
        <w:rPr>
          <w:rFonts w:ascii="Verdana" w:eastAsia="Verdana" w:hAnsi="Verdana" w:cs="Verdana"/>
          <w:b/>
          <w:color w:val="C00000"/>
          <w:sz w:val="18"/>
          <w:szCs w:val="18"/>
        </w:rPr>
      </w:pPr>
      <w:r>
        <w:rPr>
          <w:rFonts w:ascii="Verdana" w:eastAsia="Verdana" w:hAnsi="Verdana" w:cs="Verdana"/>
          <w:b/>
          <w:color w:val="C00000"/>
          <w:sz w:val="18"/>
          <w:szCs w:val="18"/>
        </w:rPr>
        <w:t>Per informazioni alla stampa:</w:t>
      </w:r>
    </w:p>
    <w:p w:rsidR="001A6680" w:rsidRDefault="00230707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Sara </w:t>
      </w: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- </w:t>
      </w:r>
      <w:r>
        <w:rPr>
          <w:rFonts w:ascii="Verdana" w:eastAsia="Verdana" w:hAnsi="Verdana" w:cs="Verdana"/>
          <w:color w:val="0563C1"/>
          <w:sz w:val="18"/>
          <w:szCs w:val="18"/>
          <w:u w:val="single"/>
        </w:rPr>
        <w:t>sara@ferdeghinicomunicazione.it</w:t>
      </w:r>
      <w:r>
        <w:rPr>
          <w:rFonts w:ascii="Verdana" w:eastAsia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335.7488592</w:t>
      </w:r>
    </w:p>
    <w:p w:rsidR="001A6680" w:rsidRDefault="00230707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Francesca Motta - </w:t>
      </w:r>
      <w:hyperlink r:id="rId7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motta@ferdeghinicomunicazione.it</w:t>
        </w:r>
      </w:hyperlink>
      <w:r>
        <w:rPr>
          <w:rFonts w:ascii="Verdana" w:eastAsia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344.0965871 </w:t>
      </w:r>
    </w:p>
    <w:p w:rsidR="001A6680" w:rsidRDefault="00230707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Comunicazione </w:t>
      </w:r>
      <w:proofErr w:type="spellStart"/>
      <w:r>
        <w:rPr>
          <w:rFonts w:ascii="Verdana" w:eastAsia="Verdana" w:hAnsi="Verdana" w:cs="Verdana"/>
          <w:sz w:val="18"/>
          <w:szCs w:val="18"/>
        </w:rPr>
        <w:t>Srl</w:t>
      </w:r>
      <w:proofErr w:type="spellEnd"/>
    </w:p>
    <w:p w:rsidR="001A6680" w:rsidRDefault="001A6680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1A6680" w:rsidRDefault="001A6680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1A6680" w:rsidRDefault="00230707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About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Scalapay</w:t>
      </w:r>
    </w:p>
    <w:p w:rsidR="001A6680" w:rsidRDefault="002307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Leader del mercato 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Buy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Now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Pay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Later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, Scalapay è una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che ha trasformato il mondo dei pagamenti online e in-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store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permettendo agli acquirenti di ricevere i prodotti/servizi immediatamente, pagandoli in tre soluzioni, senza interessi. Già operativa in Italia e in Europa e util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izzata da centinaia di migliaia di clienti, la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ha incontrato il favore di oltre 3.000 brand, vantando una forte presenza online e in-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store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con più di 5.000 negozi fisici. </w:t>
      </w:r>
    </w:p>
    <w:p w:rsidR="001A6680" w:rsidRDefault="001A6680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</w:p>
    <w:sectPr w:rsidR="001A6680">
      <w:headerReference w:type="default" r:id="rId8"/>
      <w:footerReference w:type="default" r:id="rId9"/>
      <w:pgSz w:w="11900" w:h="16840"/>
      <w:pgMar w:top="1281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07" w:rsidRDefault="00230707">
      <w:r>
        <w:separator/>
      </w:r>
    </w:p>
  </w:endnote>
  <w:endnote w:type="continuationSeparator" w:id="0">
    <w:p w:rsidR="00230707" w:rsidRDefault="0023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80" w:rsidRDefault="002307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>
          <wp:extent cx="7697359" cy="1224068"/>
          <wp:effectExtent l="0" t="0" r="0" b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07" w:rsidRDefault="00230707">
      <w:r>
        <w:separator/>
      </w:r>
    </w:p>
  </w:footnote>
  <w:footnote w:type="continuationSeparator" w:id="0">
    <w:p w:rsidR="00230707" w:rsidRDefault="0023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80" w:rsidRDefault="001A66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</w:p>
  <w:p w:rsidR="001A6680" w:rsidRDefault="00230707" w:rsidP="00CD6A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rPr>
        <w:color w:val="C21532"/>
      </w:rPr>
    </w:pPr>
    <w:r>
      <w:rPr>
        <w:noProof/>
        <w:color w:val="C21532"/>
      </w:rPr>
      <w:drawing>
        <wp:inline distT="0" distB="0" distL="0" distR="0">
          <wp:extent cx="1676400" cy="406400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D6A4A">
      <w:rPr>
        <w:color w:val="C21532"/>
      </w:rPr>
      <w:t xml:space="preserve">                                                                                </w:t>
    </w:r>
    <w:r w:rsidR="00CD6A4A">
      <w:rPr>
        <w:noProof/>
        <w:color w:val="C21532"/>
      </w:rPr>
      <w:drawing>
        <wp:inline distT="0" distB="0" distL="0" distR="0" wp14:anchorId="782162D7" wp14:editId="33D9CD24">
          <wp:extent cx="1790192" cy="32400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izzontale_4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192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6A4A">
      <w:rPr>
        <w:color w:val="C21532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80"/>
    <w:rsid w:val="001A6680"/>
    <w:rsid w:val="00230707"/>
    <w:rsid w:val="00C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8781F"/>
  <w15:docId w15:val="{91191951-8027-4ECA-9EC9-B5915096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E46A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6A5"/>
    <w:rPr>
      <w:rFonts w:ascii="Times New Roman" w:hAnsi="Times New Roman"/>
      <w:b/>
      <w:bCs/>
      <w:sz w:val="27"/>
      <w:szCs w:val="27"/>
      <w:lang w:eastAsia="it-IT"/>
    </w:rPr>
  </w:style>
  <w:style w:type="character" w:customStyle="1" w:styleId="gdlr-core-icon-list-content">
    <w:name w:val="gdlr-core-icon-list-content"/>
    <w:basedOn w:val="Carpredefinitoparagrafo"/>
    <w:rsid w:val="002E46A5"/>
  </w:style>
  <w:style w:type="paragraph" w:styleId="Paragrafoelenco">
    <w:name w:val="List Paragraph"/>
    <w:basedOn w:val="Normale"/>
    <w:uiPriority w:val="34"/>
    <w:qFormat/>
    <w:rsid w:val="002E46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397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73C1D"/>
  </w:style>
  <w:style w:type="paragraph" w:styleId="PreformattatoHTML">
    <w:name w:val="HTML Preformatted"/>
    <w:basedOn w:val="Normale"/>
    <w:link w:val="PreformattatoHTMLCarattere"/>
    <w:uiPriority w:val="99"/>
    <w:unhideWhenUsed/>
    <w:rsid w:val="00A6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567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Ninguno">
    <w:name w:val="Ninguno"/>
    <w:rsid w:val="00AE5BBC"/>
  </w:style>
  <w:style w:type="character" w:customStyle="1" w:styleId="y2iqfc">
    <w:name w:val="y2iqfc"/>
    <w:basedOn w:val="Carpredefinitoparagrafo"/>
    <w:rsid w:val="00FB3F0D"/>
  </w:style>
  <w:style w:type="paragraph" w:styleId="NormaleWeb">
    <w:name w:val="Normal (Web)"/>
    <w:basedOn w:val="Normale"/>
    <w:uiPriority w:val="99"/>
    <w:semiHidden/>
    <w:unhideWhenUsed/>
    <w:rsid w:val="001B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002E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755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c-messageeditedlabel">
    <w:name w:val="gmail-c-message__edited_label"/>
    <w:basedOn w:val="Carpredefinitoparagrafo"/>
    <w:rsid w:val="002A5476"/>
  </w:style>
  <w:style w:type="paragraph" w:styleId="Revisione">
    <w:name w:val="Revision"/>
    <w:hidden/>
    <w:uiPriority w:val="99"/>
    <w:semiHidden/>
    <w:rsid w:val="00CD5E5E"/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il">
    <w:name w:val="il"/>
    <w:basedOn w:val="Carpredefinitoparagrafo"/>
    <w:rsid w:val="0072023C"/>
  </w:style>
  <w:style w:type="character" w:customStyle="1" w:styleId="gmaildefault">
    <w:name w:val="gmail_default"/>
    <w:basedOn w:val="Carpredefinitoparagrafo"/>
    <w:rsid w:val="008C23B9"/>
  </w:style>
  <w:style w:type="character" w:styleId="Enfasigrassetto">
    <w:name w:val="Strong"/>
    <w:basedOn w:val="Carpredefinitoparagrafo"/>
    <w:uiPriority w:val="22"/>
    <w:qFormat/>
    <w:rsid w:val="008C2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tta@ferdeghini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EYOwcxxQoKiGpQ+7WysE6aXRtw==">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cristina cappennani</dc:creator>
  <cp:lastModifiedBy>Francy</cp:lastModifiedBy>
  <cp:revision>2</cp:revision>
  <dcterms:created xsi:type="dcterms:W3CDTF">2023-02-02T08:41:00Z</dcterms:created>
  <dcterms:modified xsi:type="dcterms:W3CDTF">2023-02-02T08:41:00Z</dcterms:modified>
</cp:coreProperties>
</file>