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2906846</wp:posOffset>
            </wp:positionH>
            <wp:positionV relativeFrom="page">
              <wp:posOffset>381397</wp:posOffset>
            </wp:positionV>
            <wp:extent cx="1730107" cy="1038064"/>
            <wp:effectExtent l="0" t="0" r="0" b="0"/>
            <wp:wrapSquare wrapText="bothSides" distL="152400" distR="152400"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07" cy="1038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center"/>
        <w:rPr>
          <w:b w:val="1"/>
          <w:bCs w:val="1"/>
          <w:outline w:val="0"/>
          <w:color w:val="ba0c2f"/>
          <w:u w:color="bb1f3e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PRIMAVERA IN GIAPPONE: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center"/>
        <w:rPr>
          <w:b w:val="1"/>
          <w:bCs w:val="1"/>
          <w:outline w:val="0"/>
          <w:color w:val="ba0c2f"/>
          <w:u w:color="bb1f3e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IL VATICANO DELLO ZEN E LA PARATA DI SAMURAI E ARCIERI.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center"/>
        <w:rPr>
          <w:b w:val="1"/>
          <w:bCs w:val="1"/>
          <w:outline w:val="0"/>
          <w:color w:val="ba0c2f"/>
          <w:u w:color="bb1f3e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IL PERNOTTAMENTO IN RYOKAN E IL BAGNO NELLE TERME.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center"/>
        <w:rPr>
          <w:b w:val="1"/>
          <w:bCs w:val="1"/>
          <w:outline w:val="0"/>
          <w:color w:val="ba0c2f"/>
          <w:u w:color="bb1f3e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L</w:t>
      </w: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’</w:t>
      </w: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ASCETISMO DEI MONACI E LA FRENESIA DELLO SHOPPING.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center"/>
        <w:rPr>
          <w:b w:val="1"/>
          <w:bCs w:val="1"/>
          <w:outline w:val="0"/>
          <w:color w:val="ba0c2f"/>
          <w:u w:color="bb1f3e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SONO SOLO ALCUNI DEGLI HIGHLIGHT DEI TOUR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center"/>
        <w:rPr>
          <w:b w:val="1"/>
          <w:bCs w:val="1"/>
          <w:outline w:val="0"/>
          <w:color w:val="ba0c2f"/>
          <w:u w:color="bb1f3e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FIRMATI KEL 12 E I VIAGGI DI MAURIZIO LEVI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outline w:val="0"/>
          <w:color w:val="ba0c2f"/>
          <w:u w:color="bb1f3e"/>
          <w14:textFill>
            <w14:solidFill>
              <w14:srgbClr w14:val="BA0C2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Kel 12 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– 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I Viaggi di Maurizio Levi propongono tre tour in Giappone, per scoprirne la molteplicit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à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: dalle culture antiche e mistiche alla fantasmagorica modernit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à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, passando per un festival che accade una sola volta l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’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anno. Ogni viaggio, della durata di due settimane, 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è 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un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’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immersione in una delle culture pi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ù 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affascinanti del mondo.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rPr>
          <w:rStyle w:val="Nessuno A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Milano, 11 gennaio 2023</w:t>
      </w:r>
      <w:r>
        <w:rPr>
          <w:sz w:val="22"/>
          <w:szCs w:val="22"/>
          <w:rtl w:val="0"/>
          <w:lang w:val="it-IT"/>
        </w:rPr>
        <w:t xml:space="preserve"> – </w:t>
      </w:r>
      <w:r>
        <w:rPr>
          <w:sz w:val="22"/>
          <w:szCs w:val="22"/>
          <w:rtl w:val="0"/>
          <w:lang w:val="it-IT"/>
        </w:rPr>
        <w:t>Viaggi multisensoriali in compagnia di esperti. Per lasciarsi travolgere dalle rutilanti metropoli ma anche calarsi nel silenzio dello Zen a Fukui.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Viaggi che calano nelle luci delle citt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principali del Giappone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 xml:space="preserve">Tokyo, Osaka, Kyoto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ma che riservano momenti inediti ed esclusivi, come la condivisione della vita dei monaci in un monastero zen, la celebrazione di una rievocazione storica a Nikko, localit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patrimonio Unesco, il bagno nelle calde sorgenti termali ad Hakone.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rStyle w:val="Nessuno A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Ognuno associa qualcosa al Giappone: chi pensa ai templi, chi ai ciliegi fioriti, chi ai manga, chi al cibo, chi alla tecnologia. I prossimi mesi possono essere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opportunit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di cogliere le mille sfaccettature di questo Paese, che non ha mai perso il legame con la sua storia e la sua cultura millenaria. Orientali con uno stile di vita occidentale, ultramoderni e al contempo conservatori e tradizionalisti, composti e disciplinati quanto stravaganti, i giapponesi sapranno affascinare i viaggiatori.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rStyle w:val="Nessuno A"/>
          <w:sz w:val="22"/>
          <w:szCs w:val="22"/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b w:val="1"/>
          <w:bCs w:val="1"/>
          <w:outline w:val="0"/>
          <w:color w:val="ba0c2f"/>
          <w:sz w:val="22"/>
          <w:szCs w:val="22"/>
          <w:u w:color="ff0000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“</w:t>
      </w: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I due volti del Giappone: dalla modernit</w:t>
      </w: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 xml:space="preserve">à </w:t>
      </w: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al cuore dello Zen</w:t>
      </w: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”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Kel 12 si ripromette di far esplorare un elemento di grande fascino della tradizione giapponese: il buddhismo Zen. Meditazione, presenza mentale, rigore, grande eleganza estetica: tutti questi elementi si fondono nello zen. I partecipanti lo scopriranno visitando luoghi quasi leggendari: Kyoto, Nara e Kamakura, antiche e incantevoli citt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buddhiste immerse nella natura, ricche di templi e di meravigliosi giardini zen.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Ma in questo viaggio saranno coinvolti tutti i sensi, non solo la vista: ci si immerger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nelle vasche termali dei celebri onsen (il Giappone ha una grande tradizione termale, e il bagno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un rito); si pernotter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in un ryokan per provare la piacevole esperienza della locanda tradizionale giapponese, con il pavimento in tatami, le porte scorrevoli, il futon; si gusteranno le prelibatezze della cucina giapponese senza filtri occidentali; si sperimenter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la vita dei monaci zen vivendo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esperienza in un luogo speciale: il complesso templare dello Eihei-ji a Fukui, il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Vaticano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 xml:space="preserve">dello Zen Soto. 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132"/>
          <w:tab w:val="left" w:pos="9186"/>
        </w:tabs>
        <w:jc w:val="both"/>
        <w:rPr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Partenza 24 marzo, durata 14 giorni, min 13 max 16 partecipanti.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132"/>
          <w:tab w:val="left" w:pos="9186"/>
        </w:tabs>
        <w:jc w:val="both"/>
        <w:rPr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Voli Lufthansa, quasi tutti i pasti inclusi, quote da 5.960 euro.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b w:val="1"/>
          <w:bCs w:val="1"/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b w:val="1"/>
          <w:bCs w:val="1"/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“</w:t>
      </w: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Dalle antiche culture alla modernit</w:t>
      </w: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à”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Kel 12 imbastisce un viaggio spazio-temporale, che alterna le tre grandi citt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(Tokyo, Kyoto e Osaka) alle piccole localit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dove tutto ha un ritmo diverso. Cos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 xml:space="preserve">, se a Tokyo si dorme nel quartiere dei grattacieli di Shinjuku e si passeggia nel quartiere Ginza che richiama la Fifth Avenue, a Shirakawago, nella Valle di Shokawa, i villaggi dalle case triangolari (case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dalle mani giunte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 xml:space="preserve">) e dal tetto in paglia sono state isolate dal resto del Giappone fino a inizio 900.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Un tour splendido, che conduce a Nikko, centro religioso con monumenti storici, dove la sacralit</w:t>
      </w:r>
      <w:r>
        <w:rPr>
          <w:sz w:val="22"/>
          <w:szCs w:val="22"/>
          <w:rtl w:val="0"/>
          <w:lang w:val="it-IT"/>
        </w:rPr>
        <w:t xml:space="preserve">à è </w:t>
      </w:r>
      <w:r>
        <w:rPr>
          <w:sz w:val="22"/>
          <w:szCs w:val="22"/>
          <w:rtl w:val="0"/>
          <w:lang w:val="it-IT"/>
        </w:rPr>
        <w:t>anche nella natura del parco nazionale. A Matsumoto, con il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antico castello di legno della nazione, e nella vicina Takayama, con i negozi di sak</w:t>
      </w:r>
      <w:r>
        <w:rPr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. Da Nara, prima capitale del Giappone, alla piccola Uji, che dal Trecento produce il miglior t</w:t>
      </w:r>
      <w:r>
        <w:rPr>
          <w:sz w:val="22"/>
          <w:szCs w:val="22"/>
          <w:rtl w:val="0"/>
          <w:lang w:val="it-IT"/>
        </w:rPr>
        <w:t>è</w:t>
      </w:r>
      <w:r>
        <w:rPr>
          <w:sz w:val="22"/>
          <w:szCs w:val="22"/>
          <w:rtl w:val="0"/>
          <w:lang w:val="it-IT"/>
        </w:rPr>
        <w:t>, dove dedicarsi agli acquisti, come a Kanazawa, sul mare, apice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artigianalit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 xml:space="preserve">, in primis tintura della seta e manufatti in lacca.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Un viaggio molto speciale, che abbina la crociera sul fiume Sumida di Tokyo con Kenroku-en di Kanazawa, uno dei giardini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spettacolari di tutto il Paese, che accompagna nei templi scintoisti e nelle vie dove i giovani lanciano le tendenze di look nel mondo, in un caleidoscopio che sorprende e rimane nella memoria.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Partenze 1 aprile, 16 aprile, 6 maggio, durata 15 giorni, min 13 max 16 partecipanti.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132"/>
          <w:tab w:val="left" w:pos="9186"/>
        </w:tabs>
        <w:jc w:val="both"/>
        <w:rPr>
          <w:outline w:val="0"/>
          <w:color w:val="ba0c2f"/>
          <w:sz w:val="22"/>
          <w:szCs w:val="22"/>
          <w:u w:color="bb1f3e"/>
          <w:shd w:val="clear" w:color="auto" w:fill="ffff00"/>
          <w14:textFill>
            <w14:solidFill>
              <w14:srgbClr w14:val="BA0C2F"/>
            </w14:solidFill>
          </w14:textFill>
        </w:rPr>
      </w:pP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Voli, mezza pensione, quote da 5.300 euro.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“</w:t>
      </w: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Il festival Toshogu d Nikko</w:t>
      </w:r>
      <w:r>
        <w:rPr>
          <w:b w:val="1"/>
          <w:bCs w:val="1"/>
          <w:outline w:val="0"/>
          <w:color w:val="ba0c2f"/>
          <w:sz w:val="22"/>
          <w:szCs w:val="22"/>
          <w:u w:color="ff0000"/>
          <w:rtl w:val="0"/>
          <w:lang w:val="it-IT"/>
          <w14:textFill>
            <w14:solidFill>
              <w14:srgbClr w14:val="BA0C2F"/>
            </w14:solidFill>
          </w14:textFill>
        </w:rPr>
        <w:t>”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 Viaggi di Maurizio Levi conduce alla solenne rievocazione storica: il Festival Toshogu di Nikko. La grande parata di samurai e arcieri a cavallo accompagna al sacro tempio di Toshogu le spoglie di Tokugawa Ieyasu, il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 xml:space="preserve">grande shogun di tutti i tempi. 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evento rappresenta il clou del viaggio, che comprende numerose tappe. Da Tokyo, incredibile megalopoli, al Lago Ashi, ai paesaggi delle </w:t>
      </w:r>
      <w:r>
        <w:rPr>
          <w:sz w:val="22"/>
          <w:szCs w:val="22"/>
          <w:rtl w:val="0"/>
          <w:lang w:val="it-IT"/>
        </w:rPr>
        <w:t>‘</w:t>
      </w:r>
      <w:r>
        <w:rPr>
          <w:sz w:val="22"/>
          <w:szCs w:val="22"/>
          <w:rtl w:val="0"/>
          <w:lang w:val="it-IT"/>
        </w:rPr>
        <w:t>alpi giapponesi</w:t>
      </w:r>
      <w:r>
        <w:rPr>
          <w:sz w:val="22"/>
          <w:szCs w:val="22"/>
          <w:rtl w:val="0"/>
          <w:lang w:val="it-IT"/>
        </w:rPr>
        <w:t xml:space="preserve">’ </w:t>
      </w:r>
      <w:r>
        <w:rPr>
          <w:sz w:val="22"/>
          <w:szCs w:val="22"/>
          <w:rtl w:val="0"/>
          <w:lang w:val="it-IT"/>
        </w:rPr>
        <w:t xml:space="preserve">sullo sfondo del Monte Fuji. Il villaggio rurale di Shirakawago (UNESCO) e il giardino Kenrokuen a Kanazawa sul Mar del Giappone. Il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Parco della Pace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di Hiroshima (UNESCO) e il Santuario Itsukushima sull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isola di Miyajima (UNESCO) che con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alta marea sembra galleggi sospeso tra cielo e mare.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imponente castello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Airone Bianco di Himeji (UNESCO). Kyoto (UNESCO), millenaria capitale di samurai e geishe, custode di tesori inestimabili e tradizioni mai decadute, cuore e anima del Giappone. I monasteri buddhisti Shingon sulla vetta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esoterico Monte Koya (UNESCO). Viaggiando anche a bordo di shinkansen, i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treni proiettile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a oltre 330 km/h, e dormendo in ryokan e in shukubo (monastero).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Partenz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a </w:t>
      </w: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13 maggio, durata 15 giorni, max 14 partecipanti.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 xml:space="preserve">Voli, prime colazioni, quote da 6.150 euro. 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86"/>
        </w:tabs>
        <w:jc w:val="both"/>
        <w:rPr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b w:val="1"/>
          <w:b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Per i lettori:</w:t>
      </w:r>
      <w:r>
        <w:rPr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"http://www.kel12.com"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kel12.com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outline w:val="0"/>
          <w:color w:val="ba0c2f"/>
          <w:sz w:val="22"/>
          <w:szCs w:val="22"/>
          <w:u w:val="single" w:color="bb1f3e"/>
          <w14:textFill>
            <w14:solidFill>
              <w14:srgbClr w14:val="BA0C2F"/>
            </w14:solidFill>
          </w14:textFill>
        </w:rPr>
      </w:pP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b w:val="1"/>
          <w:bCs w:val="1"/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  <w:r>
        <w:rPr>
          <w:rStyle w:val="Nessuno"/>
          <w:b w:val="1"/>
          <w:b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Per informazioni alla stampa: Ferdeghini Comunicazione Srl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outline w:val="0"/>
          <w:color w:val="ba0c2f"/>
          <w:sz w:val="22"/>
          <w:szCs w:val="22"/>
          <w:u w:color="bb1f3e"/>
          <w14:textFill>
            <w14:solidFill>
              <w14:srgbClr w14:val="BA0C2F"/>
            </w14:solidFill>
          </w14:textFill>
        </w:rPr>
      </w:pP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Sara Ferdeghini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a0c2f"/>
          <w:sz w:val="22"/>
          <w:szCs w:val="22"/>
          <w:u w:color="bb1f3e"/>
          <w:rtl w:val="0"/>
          <w:lang w:val="it-IT"/>
          <w14:textFill>
            <w14:solidFill>
              <w14:srgbClr w14:val="BA0C2F"/>
            </w14:solidFill>
          </w14:textFill>
        </w:rPr>
        <w:t>Veronica Cappennani</w:t>
      </w:r>
    </w:p>
    <w:p>
      <w:pPr>
        <w:pStyle w:val="Normal.0"/>
        <w:shd w:val="clear" w:color="auto" w:fill="ffffff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sz w:val="22"/>
          <w:szCs w:val="22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sz w:val="22"/>
          <w:szCs w:val="22"/>
          <w:rtl w:val="0"/>
          <w:lang w:val="it-IT"/>
        </w:rPr>
        <w:t>, cell: 333.8896148</w:t>
      </w:r>
    </w:p>
    <w:p>
      <w:pPr>
        <w:pStyle w:val="Normal.0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>
      <w:pPr>
        <w:pStyle w:val="Normal.0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  <w:outline w:val="0"/>
          <w:color w:val="ba0c2f"/>
          <w:sz w:val="20"/>
          <w:szCs w:val="20"/>
          <w:u w:color="ba0c2f"/>
          <w14:textFill>
            <w14:solidFill>
              <w14:srgbClr w14:val="BA0C2F"/>
            </w14:solidFill>
          </w14:textFill>
        </w:rPr>
      </w:pPr>
      <w:r>
        <w:rPr>
          <w:rStyle w:val="Nessuno"/>
          <w:b w:val="1"/>
          <w:bCs w:val="1"/>
          <w:outline w:val="0"/>
          <w:color w:val="ba0c2f"/>
          <w:sz w:val="20"/>
          <w:szCs w:val="20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KEL 12</w:t>
      </w:r>
    </w:p>
    <w:p>
      <w:pPr>
        <w:pStyle w:val="Normal.0"/>
        <w:widowControl w:val="0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 xml:space="preserve">Dal 1978 Kel 12 </w:t>
      </w:r>
      <w:r>
        <w:rPr>
          <w:rStyle w:val="Nessuno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sz w:val="20"/>
          <w:szCs w:val="20"/>
          <w:rtl w:val="0"/>
          <w:lang w:val="it-IT"/>
        </w:rPr>
        <w:t>Tour Operator specializzato in viaggi culturali e spedizioni in tutto il mondo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operatore si contraddistingue sul mercato per le sue proposte di viaggi etici e sostenibili, incontri con la natura, la storia,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arte e le persone.</w:t>
      </w:r>
    </w:p>
    <w:p>
      <w:pPr>
        <w:pStyle w:val="Normal.0"/>
        <w:widowControl w:val="0"/>
        <w:tabs>
          <w:tab w:val="left" w:pos="708"/>
          <w:tab w:val="left" w:pos="1416"/>
          <w:tab w:val="left" w:pos="1417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Nessuno"/>
          <w:sz w:val="20"/>
          <w:szCs w:val="20"/>
          <w:rtl w:val="0"/>
          <w:lang w:val="it-IT"/>
        </w:rPr>
        <w:t>Nel 2018 Kel 12 viene scelto da National Geographic Expeditions come primo partner per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Italia e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Europa. Da questa collaborazione prendono vita viaggi di conoscenza, caratterizzati da autenticit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e sostenibilit</w:t>
      </w:r>
      <w:r>
        <w:rPr>
          <w:rStyle w:val="Nessuno"/>
          <w:sz w:val="20"/>
          <w:szCs w:val="20"/>
          <w:rtl w:val="0"/>
          <w:lang w:val="it-IT"/>
        </w:rPr>
        <w:t>à</w:t>
      </w:r>
      <w:r>
        <w:rPr>
          <w:rStyle w:val="Nessuno"/>
          <w:sz w:val="20"/>
          <w:szCs w:val="20"/>
          <w:rtl w:val="0"/>
          <w:lang w:val="it-IT"/>
        </w:rPr>
        <w:t>.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Nel 2021 Kel 12 acquisisce I Viaggi di Maurizio Levi, Tour Operator specializzato in viaggi culturali e spedizioni in luoghi remoti.</w:t>
      </w:r>
      <w:r>
        <w:rPr>
          <w:rStyle w:val="Nessuno"/>
          <w:sz w:val="20"/>
          <w:szCs w:val="20"/>
          <w:rtl w:val="0"/>
          <w:lang w:val="it-IT"/>
        </w:rPr>
        <w:t> </w:t>
      </w:r>
      <w:r>
        <w:rPr>
          <w:rStyle w:val="Nessuno"/>
          <w:sz w:val="20"/>
          <w:szCs w:val="20"/>
          <w:rtl w:val="0"/>
          <w:lang w:val="it-IT"/>
        </w:rPr>
        <w:t>Nasce sul mercato un polo che si distingue per le proposte di viaggi di scoperta, insoliti e spesso unici.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080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outline w:val="0"/>
      <w:color w:val="ba0c2f"/>
      <w:sz w:val="22"/>
      <w:szCs w:val="22"/>
      <w:u w:val="single" w:color="ba0c2f"/>
      <w14:textFill>
        <w14:solidFill>
          <w14:srgbClr w14:val="BA0C2F"/>
        </w14:solidFill>
      </w14:textFill>
    </w:rPr>
  </w:style>
  <w:style w:type="character" w:styleId="Hyperlink.1">
    <w:name w:val="Hyperlink.1"/>
    <w:basedOn w:val="Nessuno"/>
    <w:next w:val="Hyperlink.1"/>
    <w:rPr>
      <w:sz w:val="22"/>
      <w:szCs w:val="22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