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3540" w:firstLine="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 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OSSERVATORIO GATTINONI: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IL RAPPORTO FRA AGENZIE DI VIAGGIO E DIGITALE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Il digitale come nuova risorsa per 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efficientamento dei processi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 per 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innovazione della value proposition: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come cambia nel 2022 il lavoro delle agenzie.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annotation text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annotation text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 xml:space="preserve">5 luglio </w:t>
      </w:r>
      <w:r>
        <w:rPr>
          <w:rFonts w:ascii="Verdana" w:hAnsi="Verdana"/>
          <w:i w:val="1"/>
          <w:iCs w:val="1"/>
          <w:rtl w:val="0"/>
          <w:lang w:val="it-IT"/>
        </w:rPr>
        <w:t xml:space="preserve">2022. </w:t>
      </w:r>
      <w:r>
        <w:rPr>
          <w:rFonts w:ascii="Verdana" w:hAnsi="Verdana"/>
          <w:rtl w:val="0"/>
          <w:lang w:val="it-IT"/>
        </w:rPr>
        <w:t>La pandemia ha impattato in modo decisivo nel turismo organizzato, non solo per il lungo stop imposto ma anche nelle mutate modalit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di rapporto e fruizione una volta che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stato possibile tornare a viaggiare.</w:t>
      </w:r>
    </w:p>
    <w:p>
      <w:pPr>
        <w:pStyle w:val="annotation text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Osservatorio del Gruppo Gattinoni</w:t>
      </w:r>
      <w:r>
        <w:rPr>
          <w:rFonts w:ascii="Verdana" w:hAnsi="Verdana"/>
          <w:rtl w:val="0"/>
          <w:lang w:val="it-IT"/>
        </w:rPr>
        <w:t xml:space="preserve"> - uno dei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 xml:space="preserve">importanti player italiani nel settore viaggi, business travel, incentive ed eventi </w:t>
      </w:r>
      <w:r>
        <w:rPr>
          <w:rStyle w:val="Nessuno A"/>
          <w:rtl w:val="0"/>
          <w:lang w:val="it-IT"/>
        </w:rPr>
        <w:t>-</w:t>
      </w:r>
      <w:r>
        <w:rPr>
          <w:rFonts w:ascii="Verdana" w:hAnsi="Verdana"/>
          <w:b w:val="1"/>
          <w:bCs w:val="1"/>
          <w:rtl w:val="0"/>
          <w:lang w:val="it-IT"/>
        </w:rPr>
        <w:t xml:space="preserve"> insieme con 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Osservatorio Innovazione Digitale nel Turismo della School of Management del Politecnico di Milano ha rilevato la risposta degli attori della filiera.</w:t>
      </w:r>
    </w:p>
    <w:p>
      <w:pPr>
        <w:pStyle w:val="annotation text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 dati si riferiscono a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indagine svolta tra settembre e novembre 2021 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Osservatorio del PoliMi su un campione di molte centinaia di agenzie di viaggio e ad altre indagini svolte tra novembre 2021 e febbraio 2022 e rielaborate sempre 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Osservatorio del PoliMi, che inquadrano come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cambiato il business degli agenti di viaggio soprattutto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ultimo anno.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Gli intervistati hanno dichiarato di vedere nel digital e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innovazione la linfa da cui trarre beneficio per la ripresa e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adeguamento a un mondo che si presenta completamente diverso.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digitale infatti pu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ò </w:t>
      </w:r>
      <w:r>
        <w:rPr>
          <w:rFonts w:ascii="Verdana" w:hAnsi="Verdana"/>
          <w:sz w:val="20"/>
          <w:szCs w:val="20"/>
          <w:rtl w:val="0"/>
          <w:lang w:val="it-IT"/>
        </w:rPr>
        <w:t>fornire supporto a tutte le attivit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core delle agenzie di viaggio e comporta il miglioramento, per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efficienza ed efficacia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in due aree principali attinenti al rapporto con il cliente: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 processi e la proposizione di valore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Clienti, reali e potenziali, che hanno mutato le esigenze; nel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31% </w:t>
      </w:r>
      <w:r>
        <w:rPr>
          <w:rFonts w:ascii="Verdana" w:hAnsi="Verdana"/>
          <w:sz w:val="20"/>
          <w:szCs w:val="20"/>
          <w:rtl w:val="0"/>
          <w:lang w:val="it-IT"/>
        </w:rPr>
        <w:t>dei casi hanno dichiarato di dedicare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tempo rispetto al pre-pandemia a pianificare le proprie vacanze (fonte SWG e Trainline febbraio 2022). Nel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68%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dei casi hanno espresso 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cercare sicurezza e flessibilit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stipulando una polizza assicurativa (fonte Europassistance aprile 2022). 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Le agenzie di viaggio hanno implementato la conoscenza del turismo nazionale, dato che a febbraio il 67% delle persone manifestava 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trascorrere le vacanze estive in Italia (fonte Ernst &amp; Young); e hanno cercato proposte che riportassero la durata pre-pandemia dei 7 giorni contro i 3,8 giorni del 2020 e 2021.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Soprattutto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le agenzie hanno investito in due rami, all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insegna della digitalizzazione: rendere possibile il lavoro da remoto e migliorare la relazione con il cliente.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Nel corso del 2021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- commenta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Eleonora Lorenzini, Direttore dell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Osservatorio Innovazione Digitale nel Turismo -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1 agenzia su 4 ha modificato il proprio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modello di gestione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, lavorando solo su appuntamento (19%) o chiudendo la filiale fisica per passare all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online o alla consulenza (8%). La pandemia ha dunque accelerato un fenomeno su cui le agenzie stavano gi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investendo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Nello specifico, il 18% ha investito su un sistema di gestione e prenotazione degli appuntamenti (il 19% gi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lo utilizzava),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8% su strumenti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invio in digitale del preventivo (il 44% ne era gi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dotato). Una percentuale minore di agenzie ha introdotto piattaforme b2b2c per offrire direttamente online i servizi al cliente o App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invio di offerte e documenti utili alla pianificazione del viaggio, piuttosto che chat/assistenti virtuali per fornire informazioni e assistenza in viaggio o ai fini della prenotazione.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Infine, per quanto riguarda la proposizione di valore, alcune agenzie stanno sperimentando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nuove proposte e fonti di ricavo</w:t>
      </w:r>
      <w:r>
        <w:rPr>
          <w:rFonts w:ascii="Verdana" w:hAnsi="Verdana"/>
          <w:sz w:val="20"/>
          <w:szCs w:val="20"/>
          <w:rtl w:val="0"/>
          <w:lang w:val="it-IT"/>
        </w:rPr>
        <w:t>. Il 54% del campione (66% per quelle appartenenti a un network) ha proposto gift card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acquisto di viaggi, il 10% esperienze da svolgere online e il 7% pacchetti dedicati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holiday working (ossia il lavoro da luoghi di vacanza) rivolti direttamente al viaggiatore o alla sua azienda.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outline w:val="0"/>
          <w:color w:val="1a1a1a"/>
          <w:sz w:val="20"/>
          <w:szCs w:val="20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Commenta Sergio Testi, Direttore Generale Gattinoni:</w:t>
      </w:r>
      <w:r>
        <w:rPr>
          <w:rFonts w:ascii="Verdana" w:hAnsi="Verdana" w:hint="default"/>
          <w:outline w:val="0"/>
          <w:color w:val="1a1a1a"/>
          <w:sz w:val="20"/>
          <w:szCs w:val="20"/>
          <w:u w:color="1a1a1a"/>
          <w:shd w:val="clear" w:color="auto" w:fill="ffffff"/>
          <w:rtl w:val="0"/>
          <w:lang w:val="it-IT"/>
          <w14:textFill>
            <w14:solidFill>
              <w14:srgbClr w14:val="1A1A1A"/>
            </w14:solidFill>
          </w14:textFill>
        </w:rPr>
        <w:t> 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Se nel 2021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orientamento al digitale poteva ancora essere interpretato come una modalit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per dialogare a distanza, oggi non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pi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cos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ì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. Infatti, anche se nel 2022 i problemi legati al poter accogliere clienti in agenzia sono stati eliminati, si riconferma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orientamento al digitale per molteplici motivi. Ormai i clienti hanno bisogno di velocit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, immediatezza e livelli di dettaglio; attraverso una politica innovativa che vede al centro la digitalizzazione, le agenzie possono migliorare e soprattutto intensificare il loro rapporto con i clienti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.0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Il tema della digitalizzazione non prescinde da quello delle competenze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secondo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Federica Russo, Ricercatrice dell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Osservatorio Innovazione Digitale nel Turismo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 prescindere dagli specifici strumenti adottati, la chiave di volta per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efficacia dei progetti di innovazione sono le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competenze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Il periodo della pandemia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stato cruciale in questo senso, visto che il 95% delle agenzie italiane ha investito sul loro rafforzamento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Le aree di lavoro sono state in particolare la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comunicazione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con un 43% di agenzie che ha avviato corsi di formazione su social ed e-mail marketing; la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vendita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con il 31% di agenzie che ha investito su competenze in merito a nuovi canali di vendita online; la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relazione con il cliente</w:t>
      </w:r>
      <w:r>
        <w:rPr>
          <w:rFonts w:ascii="Verdana" w:hAnsi="Verdana"/>
          <w:sz w:val="20"/>
          <w:szCs w:val="20"/>
          <w:rtl w:val="0"/>
          <w:lang w:val="it-IT"/>
        </w:rPr>
        <w:t>, con un 18% di agenzie che ha rafforzato le competenze del personale in ambito utilizzo di CRM.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Il Gruppo Gattinoni ha costantemente investito nella formazione.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Ultima iniziativa in ordine di tempo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stata in primavera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Academy, 13 tappe in Italia a casa degli agenti di viaggio.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accademia per apprendere, crescere, acquisire strumenti utili ad affrontare le evoluzioni del nostro tempo, parlare dei nuovi siti di eCommerce, degli strumenti di comunicazione,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aggiornamento del Prodotto Gattinoni Travel, di assistenza assicurativa e assistenza legale, di tecniche di vendita.</w:t>
      </w:r>
    </w:p>
    <w:p>
      <w:pPr>
        <w:pStyle w:val="Normal.0"/>
        <w:spacing w:line="240" w:lineRule="atLeast"/>
        <w:jc w:val="both"/>
        <w:rPr>
          <w:rFonts w:ascii="Verdana" w:cs="Verdana" w:hAnsi="Verdana" w:eastAsia="Verdana"/>
          <w:sz w:val="22"/>
          <w:szCs w:val="22"/>
          <w:u w:val="single"/>
        </w:rPr>
      </w:pPr>
    </w:p>
    <w:p>
      <w:pPr>
        <w:pStyle w:val="Normal.0"/>
        <w:spacing w:line="240" w:lineRule="atLeast"/>
        <w:jc w:val="both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  <w:rtl w:val="0"/>
          <w:lang w:val="it-IT"/>
        </w:rPr>
        <w:t>Per informazioni alla stampa:</w:t>
      </w:r>
    </w:p>
    <w:p>
      <w:pPr>
        <w:pStyle w:val="Normal.0"/>
        <w:spacing w:line="240" w:lineRule="atLeast"/>
        <w:jc w:val="both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Sara Ferdeghini</w:t>
        <w:tab/>
        <w:tab/>
        <w:tab/>
        <w:tab/>
        <w:tab/>
        <w:tab/>
        <w:tab/>
        <w:tab/>
        <w:t xml:space="preserve">     </w:t>
      </w:r>
    </w:p>
    <w:p>
      <w:pPr>
        <w:pStyle w:val="Normal.0"/>
        <w:spacing w:line="240" w:lineRule="atLeast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   </w:t>
        <w:tab/>
        <w:tab/>
        <w:tab/>
        <w:t xml:space="preserve">       </w:t>
      </w:r>
    </w:p>
    <w:p>
      <w:pPr>
        <w:pStyle w:val="Normal.0"/>
        <w:spacing w:line="240" w:lineRule="atLeast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cell: 335.7488592</w:t>
        <w:tab/>
        <w:tab/>
        <w:tab/>
        <w:tab/>
        <w:tab/>
        <w:tab/>
        <w:tab/>
        <w:tab/>
      </w:r>
    </w:p>
    <w:p>
      <w:pPr>
        <w:pStyle w:val="Normal.0"/>
        <w:spacing w:line="240" w:lineRule="atLeast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Ufficio Stampa Gruppo Gattinoni</w:t>
        <w:tab/>
        <w:tab/>
      </w:r>
    </w:p>
    <w:p>
      <w:pPr>
        <w:pStyle w:val="Normal.0"/>
        <w:spacing w:line="240" w:lineRule="atLeast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Ferdeghini Comunicazione Srl</w:t>
        <w:tab/>
        <w:tab/>
      </w:r>
    </w:p>
    <w:p>
      <w:pPr>
        <w:pStyle w:val="Normal.0"/>
        <w:spacing w:line="240" w:lineRule="atLeast"/>
        <w:jc w:val="both"/>
        <w:rPr>
          <w:rStyle w:val="Nessuno"/>
          <w:rFonts w:ascii="Verdana" w:cs="Verdana" w:hAnsi="Verdana" w:eastAsia="Verdana"/>
          <w:shd w:val="clear" w:color="auto" w:fill="ffff00"/>
        </w:rPr>
      </w:pPr>
      <w:r>
        <w:rPr>
          <w:rStyle w:val="Nessuno"/>
          <w:rFonts w:ascii="Verdana" w:cs="Verdana" w:hAnsi="Verdana" w:eastAsia="Verdana"/>
          <w:sz w:val="18"/>
          <w:szCs w:val="18"/>
        </w:rPr>
        <w:tab/>
      </w: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------------------------------------------------------------------------------------------------------------------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 Lecco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di eventi di Franco Gattinoni, fondatore e tuttora presidente del gruppo. Con lui lavorano oltre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450 persone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Roma), e 32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2317750" cy="1172895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117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