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>
            <w14:noFill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>
            <w14:noFill/>
          </w14:textOutline>
          <w14:textFill>
            <w14:solidFill>
              <w14:srgbClr w14:val="BB1F3E"/>
            </w14:solidFill>
          </w14:textFill>
        </w:rPr>
        <w:t>L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A FILOSOFIA GREEN DI CDSHOTELS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>
            <w14:noFill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>
            <w14:noFill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Le meraviglie naturali e le tradizioni del territorio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>
            <w14:noFill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rappresentano la nostra fonte 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rinnovabile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pi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importante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Milano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, 28 giugno 2022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CDSHotels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con le sue 12 strutture che gestisce e commercializza tra il Salento e Sicilia, abbraccia e supporta la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filosofia della sostenibilit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ambientale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 tempo il gruppo alberghiero ha adottato una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best practice attenta a salvaguardare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ambiente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a partire dall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uso di impianti di ultima generazione per la produzione di energia in grado efficientare il sistema diminuendo cos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 consumi elettrici, insieme all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utilizzo di fonti alternative per la produzione e l'autoconsumo di energia elettrica e acqua calda sanitaria, passando attraverso l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adozione di un sistema di domotica di controllo per ottimizzare anche i periodi in cui le camere delle strutture non sono occupate.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Ada Miraglia, direttore commerciale CDSHotels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dichiara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Accanto a progetti di restyling e riqualificazione di alcune aree delle strutture che abbiamo sviluppato in ottica sostenibile, riteniamo che sostenere il pianeta significhi anche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impegnarsi per </w:t>
      </w:r>
      <w:r>
        <w:rPr>
          <w:rFonts w:ascii="Verdana" w:hAnsi="Verdana"/>
          <w:i w:val="1"/>
          <w:i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tutelare le tradizioni locali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sopravvissute fino a oggi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 resto le specificit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 Salento raccontano la storia stessa di CDSHotels: una trama che intreccia i fili della tradizione con le necessit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un futuro in cui la salvaguardia del pianeta rappresenta una missione comune.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 questa direzione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il gruppo alberghiero propone agli ospiti esperienze che non abbiano un impatto sull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ambiente e sulle comunit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locali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 al contrario, gli stessi viaggiatori vengono coinvolti in un ciclo destinato a diventare sempre pi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virtuoso e i cui benefici effetti pi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concreti.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Ada Miraglia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prosegue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>
            <w14:noFill/>
          </w14:textOutline>
        </w:rPr>
        <w:t xml:space="preserve">Le escursioni organizzate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 xml:space="preserve">invitano a scoprire i tesori autoctoni del nostro territorio, con la sua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>
            <w14:noFill/>
          </w14:textOutline>
        </w:rPr>
        <w:t>comunit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>
            <w14:noFill/>
          </w14:textOutline>
        </w:rPr>
        <w:t xml:space="preserve">e una specifica fauna selvatica. Si tratta di una visione che contraddistingue la gestione aziendale in tutte le sue declinazioni: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ad esempio, scegliere di privilegiare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utilizzo di prodotti a chilometro zero, contribuisce sia allo sviluppo del territorio, sia alla  riduzione di costi e conseguenti effetti nocivi sull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ambiente del trasporto. Soprattutto ci consente di offrire ai nostri clienti una proposta garantita da un alto standard qualitativo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>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 una parte la gestione CDSHotels, dall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altra gli ospiti sulla cui sensibilit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 “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green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bisogna concentrarsi fin nei pi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piccoli gesti quotidiani, per contribuire a tenere alta l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attenzione che illumini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una coscienza collettiva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pi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>
            <w14:noFill/>
          </w14:textOutline>
          <w14:textFill>
            <w14:solidFill>
              <w14:srgbClr w14:val="C00000"/>
            </w14:solidFill>
          </w14:textFill>
        </w:rPr>
        <w:t>consapevole e responsabile verso la tutela ambientale.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</w:t>
      </w:r>
      <w:r>
        <w:rPr/>
        <w:fldChar w:fldCharType="end" w:fldLock="0"/>
      </w:r>
      <w:r>
        <w:rPr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abitative, 8.387 posti letto e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  <w:r>
        <w:rPr>
          <w:rStyle w:val="Nessuno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2"/>
      <w:szCs w:val="22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