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CAROVANIERI SULLA VIA DELLA SETA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23</w:t>
      </w:r>
      <w:r>
        <w:rPr>
          <w:rFonts w:ascii="Verdana" w:hAnsi="Verdana"/>
          <w:i w:val="1"/>
          <w:i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 maggio 2022 -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Diventata meta ancora pi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attrattiva grazie a reality show di successo,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Samarcada e l</w:t>
      </w:r>
      <w:r>
        <w:rPr>
          <w:rFonts w:ascii="Verdana" w:hAnsi="Verdana" w:hint="default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Uzbekistan si accingono a diventare tra le mete pi</w:t>
      </w:r>
      <w:r>
        <w:rPr>
          <w:rFonts w:ascii="Verdana" w:hAnsi="Verdana" w:hint="default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richieste della prossima stagione.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Nessun viaggiatore potr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resistere al fascino e all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incanto delle possenti architetture ricoperte da maioliche e mosaici di antiche madrase, fortezze e mausolei.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Al centro delle rotte asiatiche e percorsa da mercanti e condottieri, Samarcanda 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la citt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pi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rappresentativa della Via della Seta e mantiene intatto il suo antico splendore ma l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Uzbekistan custodisce citt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un tempo molto potenti e sfarzose, perfettamente conservate e tutte da ammirare.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Percorrendo l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itinerario in esclusiva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nl-NL"/>
          <w14:textOutline w14:w="12700" w14:cap="flat">
            <w14:noFill/>
            <w14:miter w14:lim="400000"/>
          </w14:textOutline>
        </w:rPr>
        <w:t>Mistral Tour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Verdana" w:hAnsi="Verdana" w:hint="default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Uzbekistan Gran Tour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si potr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vivere un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esperienza indimenticabile alla scoperta di Tashkent, Termez, Samarcanda, Bukhara e Khiva.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il tour di  gruppo accompagnato da guida parlante italiano inizier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dalla citt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di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 xml:space="preserve">Tshkent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con la visita delle madrase Kukeldash e Barak Khan, della la piazza e del</w:t>
      </w:r>
      <w:r>
        <w:rPr>
          <w:rFonts w:ascii="Verdana" w:hAnsi="Verdana"/>
          <w:sz w:val="22"/>
          <w:szCs w:val="22"/>
          <w:u w:color="bb1f3e"/>
          <w:rtl w:val="0"/>
          <w:lang w:val="en-US"/>
          <w14:textOutline w14:w="12700" w14:cap="flat">
            <w14:noFill/>
            <w14:miter w14:lim="400000"/>
          </w14:textOutline>
        </w:rPr>
        <w:t xml:space="preserve">la moschea Khasty,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del bazar Chorsu, della piazza del teatro dell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opera Navoi, della Piazza dell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Indipendenza e di</w:t>
      </w:r>
      <w:r>
        <w:rPr>
          <w:rFonts w:ascii="Verdana" w:hAnsi="Verdana"/>
          <w:sz w:val="22"/>
          <w:szCs w:val="22"/>
          <w:u w:color="bb1f3e"/>
          <w:rtl w:val="0"/>
          <w:lang w:val="en-US"/>
          <w14:textOutline w14:w="12700" w14:cap="flat">
            <w14:noFill/>
            <w14:miter w14:lim="400000"/>
          </w14:textOutline>
        </w:rPr>
        <w:t xml:space="preserve"> Amir Temur Square </w:t>
      </w:r>
      <w:r>
        <w:rPr>
          <w:rFonts w:ascii="Verdana" w:hAnsi="Verdana"/>
          <w:sz w:val="22"/>
          <w:szCs w:val="22"/>
          <w:u w:color="bb1f3e"/>
          <w:rtl w:val="0"/>
          <w:lang w:val="it-IT"/>
          <w14:textOutline w14:w="12700" w14:cap="flat">
            <w14:noFill/>
            <w14:miter w14:lim="400000"/>
          </w14:textOutline>
        </w:rPr>
        <w:t>per poi salire in metropolitana per un breve giro tra le stazioni storiche.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:u w:color="bb1f3e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:u w:color="bb1f3e"/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</w:rPr>
        <w:t>Si raggiunger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in volo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</w:rPr>
        <w:t>Termez,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 nella regione dell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antica Battriana e lungo 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antico fiume Oxus, dove i Greci di Alessandro Magno fondarono numerose citt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>à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. Si potranno ammirare il museo archeologico, il complesso architettonico di Khakimi Termizi, il mausoleo di Sultan Saodat, la fortezza di di Kyrk Kyz e i resti del monastero buddhista di Fayaz Tepe.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:u w:color="bb1f3e"/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</w:rPr>
        <w:t>Si proseguir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in bus per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</w:rPr>
        <w:t>Bukhara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 per la visita alla necropoli di Chor Bakr e della residenza estiva degli emiri Bukhara di Mokhi Khossa fino a giungere per una sosta a Sachri Sabz, citt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natale di Tamerlano, il condottiero che pose a Samarcanda.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:u w:color="bb1f3e"/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Approdati a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</w:rPr>
        <w:t>Samarcanda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 si avr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tutto il tempo necessario per ammirare la citt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simbolo dei luoghi della Via della Seta con la sua grandiosa piazza Registan e le tre straordinarie madrase di Ulug Begh, Shi Dor e Tilya-Kari, famose per la purezza delle linee e 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eleganza delle maioliche turchesi.e ancora si visiter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il complesso dei mausolei Sach-i-Zinda, la moschea Bibi-Khanym - che sbalordisce per la ricchezza del decoro - il museo del sito archeologico di Afrassiab, 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antica Samarcanda abbandonata all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inizio del XII secolo dopo la conquista dei mongoli, 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osservatorio di Ulugh Begh e il mausoleo di Tamerlano Gur Emir.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:u w:color="bb1f3e"/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</w:rPr>
        <w:t>Ripartendo verso il confine con il Tajikistan si proseguir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alla volta di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</w:rPr>
        <w:t>Penjikent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 per la visita dell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antico centro della Sogdiana che nel VI secolo d.C. era uno dei pi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importanti citt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carovaniere sull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antica Via della Seta.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:u w:color="bb1f3e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:u w:color="bb1f3e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:u w:color="bb1f3e"/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itinerario ripartir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da Bukhara che fu uno dei centri pi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importanti della Via della Seta e cuore religioso e culturale dell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Asia Centrale e si concluder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a </w:t>
      </w:r>
      <w:r>
        <w:rPr>
          <w:rFonts w:ascii="Verdana" w:hAnsi="Verdana"/>
          <w:b w:val="1"/>
          <w:bCs w:val="1"/>
          <w:sz w:val="22"/>
          <w:szCs w:val="22"/>
          <w:u w:color="bb1f3e"/>
          <w:rtl w:val="0"/>
          <w:lang w:val="it-IT"/>
        </w:rPr>
        <w:t>Khiva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 xml:space="preserve"> vera perla dell</w:t>
      </w:r>
      <w:r>
        <w:rPr>
          <w:rFonts w:ascii="Arial Unicode MS" w:hAnsi="Arial Unicode MS" w:hint="default"/>
          <w:sz w:val="22"/>
          <w:szCs w:val="22"/>
          <w:u w:color="bb1f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architettura islamica e antico centro della Via della Seta tra i meglio conservati. Il suo centro storico e la sua cinta muraria in mattone crudo sono state integralmente restaurate, facendone una vera e propria citt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>à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-museo.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  <w:u w:color="bb1f3e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Mistral Tour propone: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u w:color="bb1f3e"/>
          <w:rtl w:val="0"/>
          <w:lang w:val="it-IT"/>
        </w:rPr>
        <w:t>per le partenze di giugno e luglio, quote a partire da 2.057</w:t>
      </w:r>
      <w:r>
        <w:rPr>
          <w:rFonts w:ascii="Verdana" w:hAnsi="Verdana" w:hint="default"/>
          <w:sz w:val="22"/>
          <w:szCs w:val="22"/>
          <w:u w:color="bb1f3e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u w:color="bb1f3e"/>
          <w:rtl w:val="0"/>
          <w:lang w:val="it-IT"/>
        </w:rPr>
        <w:t>a persona, in camera doppia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Per informazioni alla stampa: 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