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DUBAI COME TU LA VUOI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La nuova programmazione Dubai di Mistral Tour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costruita grazie al contributo fattivo delle agenzie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rtl w:val="0"/>
          <w:lang w:val="it-IT"/>
        </w:rPr>
        <w:t>4</w:t>
      </w:r>
      <w:r>
        <w:rPr>
          <w:rFonts w:ascii="Verdana" w:hAnsi="Verdana"/>
          <w:i w:val="1"/>
          <w:iCs w:val="1"/>
          <w:rtl w:val="0"/>
          <w:lang w:val="it-IT"/>
        </w:rPr>
        <w:t xml:space="preserve"> maggio 2022</w:t>
      </w:r>
      <w:r>
        <w:rPr>
          <w:rFonts w:ascii="Verdana" w:hAnsi="Verdana"/>
          <w:rtl w:val="0"/>
          <w:lang w:val="it-IT"/>
        </w:rPr>
        <w:t xml:space="preserve"> - Il prossimo 21 giugno Mistral Tour festegger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estate con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evento </w:t>
      </w:r>
      <w:r>
        <w:rPr>
          <w:rFonts w:ascii="Verdana" w:hAnsi="Verdana" w:hint="default"/>
          <w:b w:val="1"/>
          <w:bCs w:val="1"/>
          <w:rtl w:val="0"/>
          <w:lang w:val="it-IT"/>
        </w:rPr>
        <w:t>‘</w:t>
      </w:r>
      <w:r>
        <w:rPr>
          <w:rFonts w:ascii="Verdana" w:hAnsi="Verdana"/>
          <w:b w:val="1"/>
          <w:bCs w:val="1"/>
          <w:rtl w:val="0"/>
          <w:lang w:val="it-IT"/>
        </w:rPr>
        <w:t>Dubai come tu la vuoi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 che si svolger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contemporaneamente in </w:t>
      </w:r>
      <w:r>
        <w:rPr>
          <w:rFonts w:ascii="Verdana" w:hAnsi="Verdana"/>
          <w:b w:val="1"/>
          <w:bCs w:val="1"/>
          <w:rtl w:val="0"/>
          <w:lang w:val="it-IT"/>
        </w:rPr>
        <w:t>12 citt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>italiane da nord a sud della penisola</w:t>
      </w:r>
      <w:r>
        <w:rPr>
          <w:rFonts w:ascii="Verdana" w:hAnsi="Verdana"/>
          <w:rtl w:val="0"/>
          <w:lang w:val="it-IT"/>
        </w:rPr>
        <w:t>, da Treviso a Napoli, da Catania a Torino.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>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occasione per brindare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estate ed a Dubai che coinvolger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circa </w:t>
      </w:r>
      <w:r>
        <w:rPr>
          <w:rFonts w:ascii="Verdana" w:hAnsi="Verdana"/>
          <w:b w:val="1"/>
          <w:bCs w:val="1"/>
          <w:rtl w:val="0"/>
          <w:lang w:val="it-IT"/>
        </w:rPr>
        <w:t xml:space="preserve">500 agenti di viaggio </w:t>
      </w:r>
      <w:r>
        <w:rPr>
          <w:rFonts w:ascii="Verdana" w:hAnsi="Verdana"/>
          <w:rtl w:val="0"/>
          <w:lang w:val="it-IT"/>
        </w:rPr>
        <w:t xml:space="preserve">che nel corso della serata saranno impegnati a rispondere a </w:t>
      </w:r>
      <w:r>
        <w:rPr>
          <w:rFonts w:ascii="Verdana" w:hAnsi="Verdana"/>
          <w:b w:val="1"/>
          <w:bCs w:val="1"/>
          <w:rtl w:val="0"/>
          <w:lang w:val="it-IT"/>
        </w:rPr>
        <w:t>un survey volto a raccogliere informazioni utili a delineare le caratteristiche della programmazione ideale per la destinazione Dubai che sar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>presentata e proposta al mercato da settembre.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 xml:space="preserve">Un collegamento in diretta con </w:t>
      </w:r>
      <w:r>
        <w:rPr>
          <w:rFonts w:ascii="Verdana" w:hAnsi="Verdana"/>
          <w:b w:val="1"/>
          <w:bCs w:val="1"/>
          <w:rtl w:val="0"/>
          <w:lang w:val="it-IT"/>
        </w:rPr>
        <w:t>Visit Dubai dar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 xml:space="preserve">il via alla ricerca </w:t>
      </w:r>
      <w:r>
        <w:rPr>
          <w:rFonts w:ascii="Verdana" w:hAnsi="Verdana"/>
          <w:rtl w:val="0"/>
          <w:lang w:val="it-IT"/>
        </w:rPr>
        <w:t>che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promossa attraverso il s</w:t>
      </w:r>
      <w:r>
        <w:rPr>
          <w:rFonts w:ascii="Verdana" w:hAnsi="Verdana"/>
          <w:b w:val="1"/>
          <w:bCs w:val="1"/>
          <w:rtl w:val="0"/>
          <w:lang w:val="it-IT"/>
        </w:rPr>
        <w:t>ito e i canali social di Quality Group, e condivisa, nelle settimane a seguire, dai promotori che faranno visita alle agenzie che collaborano con 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operatore torinese.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i w:val="1"/>
          <w:iCs w:val="1"/>
          <w:rtl w:val="0"/>
          <w:lang w:val="it-IT"/>
        </w:rPr>
        <w:t>‘</w:t>
      </w:r>
      <w:r>
        <w:rPr>
          <w:rFonts w:ascii="Verdana" w:hAnsi="Verdana"/>
          <w:i w:val="1"/>
          <w:iCs w:val="1"/>
          <w:rtl w:val="0"/>
          <w:lang w:val="it-IT"/>
        </w:rPr>
        <w:t>Iniziamo da Dubai ad impostare un nuovo modo di fare filiera con gli Agenti di Viaggio, facendoli partecipare alla definizione dei prodotti, che potr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</w:rPr>
        <w:t xml:space="preserve">avere degli sviluppi futuri anche per altre destinazioni; riteniamo che chi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rtl w:val="0"/>
          <w:lang w:val="it-IT"/>
        </w:rPr>
        <w:t>a contatto tutti i giorni con la clientela possa aiutare i nostri product manager nella messa a terra di prodotti volti a soddisfare nel miglior modo possibile le esigenze loro e dei loro clienti e suggerire nuove opportunit</w:t>
      </w:r>
      <w:r>
        <w:rPr>
          <w:rFonts w:ascii="Verdana" w:hAnsi="Verdana" w:hint="default"/>
          <w:i w:val="1"/>
          <w:iCs w:val="1"/>
          <w:rtl w:val="0"/>
          <w:lang w:val="it-IT"/>
        </w:rPr>
        <w:t>à</w:t>
      </w:r>
      <w:r>
        <w:rPr>
          <w:rFonts w:ascii="Verdana" w:hAnsi="Verdana"/>
          <w:i w:val="1"/>
          <w:iCs w:val="1"/>
          <w:rtl w:val="0"/>
          <w:lang w:val="it-IT"/>
        </w:rPr>
        <w:t>. Crediamo molto in questo nuovo progetto che ci vede ancora una volta al fianco della rete agenziale con 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>obiettivo di fare rete per crescere insieme</w:t>
      </w:r>
      <w:r>
        <w:rPr>
          <w:rFonts w:ascii="Verdana" w:hAnsi="Verdana" w:hint="default"/>
          <w:i w:val="1"/>
          <w:iCs w:val="1"/>
          <w:rtl w:val="0"/>
          <w:lang w:val="it-IT"/>
        </w:rPr>
        <w:t>”</w:t>
      </w:r>
      <w:r>
        <w:rPr>
          <w:rFonts w:ascii="Verdana" w:hAnsi="Verdana"/>
          <w:i w:val="1"/>
          <w:iCs w:val="1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rtl w:val="0"/>
          <w:lang w:val="it-IT"/>
        </w:rPr>
        <w:t>Commenta Marco Peci direttore commerciale Quality Group.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