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Comunicato stampa</w:t>
      </w:r>
    </w:p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b51700"/>
          <w:sz w:val="22"/>
          <w:szCs w:val="22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51700"/>
          <w:sz w:val="22"/>
          <w:szCs w:val="22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 xml:space="preserve">CDSHotels INAUGURA LA NUOVA STAGIONE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b51700"/>
          <w:sz w:val="22"/>
          <w:szCs w:val="22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51700"/>
          <w:sz w:val="22"/>
          <w:szCs w:val="22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SOTTO IL SEGNO DELLA RINASCITA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Verdana" w:cs="Verdana" w:hAnsi="Verdana" w:eastAsia="Verdana"/>
          <w:outline w:val="0"/>
          <w:color w:val="b51700"/>
          <w:sz w:val="22"/>
          <w:szCs w:val="22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outline w:val="0"/>
          <w:color w:val="1f3864"/>
          <w:sz w:val="22"/>
          <w:szCs w:val="22"/>
          <w:u w:color="1f3864"/>
          <w14:textFill>
            <w14:solidFill>
              <w14:srgbClr w14:val="1F3864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Milano, 1 aprile 2022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- Inaugura oggi, 1 aprile, la nuova stagione di CDSHotels con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apertura di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Riva Marina Resort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e del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Grand Hotel Riviera </w:t>
      </w:r>
      <w:r>
        <w:rPr>
          <w:rFonts w:ascii="Verdana" w:hAnsi="Verdana"/>
          <w:sz w:val="22"/>
          <w:szCs w:val="22"/>
          <w:rtl w:val="0"/>
          <w:lang w:val="it-IT"/>
        </w:rPr>
        <w:t>che si aggiungono all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hotel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Basiliani</w:t>
      </w:r>
      <w:r>
        <w:rPr>
          <w:rFonts w:ascii="Verdana" w:hAnsi="Verdana"/>
          <w:sz w:val="22"/>
          <w:szCs w:val="22"/>
          <w:rtl w:val="0"/>
          <w:lang w:val="it-IT"/>
        </w:rPr>
        <w:t>, aperto per tutto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anno.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Entro la met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di aprile spalancheranno le porte all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estate anche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Corte di Nettuno, CDSHotels Terrasini, Pietrablu e Porto Giardino. </w:t>
      </w:r>
      <w:r>
        <w:rPr>
          <w:rFonts w:ascii="Verdana" w:hAnsi="Verdana"/>
          <w:sz w:val="22"/>
          <w:szCs w:val="22"/>
          <w:rtl w:val="0"/>
          <w:lang w:val="it-IT"/>
        </w:rPr>
        <w:t>A seguire, entro inizio giugno, tutte e 5 le altre strutture del gruppo.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“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Dopo due anni di pandemia siamo lieti di annunciare un ritorno ad una nuova normalit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à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. Oltre la met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delle nostre strutture saranno aperte entro aprile e chiuderanno tra fine ottobre e inizio novembre. Un segnale che ci fa gioire perch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é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consente a tutto il nostro team e agli staff dei nostri hotel e villaggi il recupero del pieno corso delle attivit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à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, garantendo 7 mesi di operativit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per quasi tutti i nostri alberghi;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”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. </w:t>
      </w:r>
      <w:r>
        <w:rPr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dichiara </w:t>
      </w:r>
      <w:r>
        <w:rPr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Ada Miraglia, direttore commerciale CDSHotels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i w:val="1"/>
          <w:iCs w:val="1"/>
          <w:outline w:val="0"/>
          <w:color w:val="202124"/>
          <w:sz w:val="22"/>
          <w:szCs w:val="22"/>
          <w:u w:color="202124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</w:pP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“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Malgrado la congiuntura internazionale e l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emergenza sanitaria continuino a influire sui trend del nostro comparto crediamo che il 2022 possa rappresentare l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anno della rinascita e i dati ci sostengono. Ad oggi registriamo, infatti, un +47% delle prenotazioni, rispetto al 2021, e un + 14% al pari periodo 2019. Se il 2021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stato contrassegnato dalle restrizioni ai viaggi dall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estero, a fine marzo il nostro gruppo segna +5% percento delle prenotazioni di clienti stranieri che rappresentano per noi il 12% del totale. La voglia di viaggiare non si spegne e la Puglia e la Sicilia, che custodiscono un patrimonio storico, architettonico e culturale tra i pi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ricchi della penisola, accompagnati da punti mare comparabili ai paradisi tropicali, continuano ad essere le mete pi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amate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”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. </w:t>
      </w:r>
      <w:r>
        <w:rPr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>Conclude Ada Miraglia.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1a1a1a"/>
          <w:sz w:val="22"/>
          <w:szCs w:val="22"/>
          <w:u w:color="1a1a1a"/>
          <w:shd w:val="clear" w:color="auto" w:fill="f8f8f8"/>
          <w14:textFill>
            <w14:solidFill>
              <w14:srgbClr w14:val="1A1A1A"/>
            </w14:solidFill>
          </w14:textFill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e prenotazioni </w:t>
      </w:r>
    </w:p>
    <w:p>
      <w:pPr>
        <w:pStyle w:val="Normal.0"/>
        <w:rPr>
          <w:rStyle w:val="Nessuno"/>
          <w:rFonts w:ascii="Verdana" w:cs="Verdana" w:hAnsi="Verdana" w:eastAsia="Verdana"/>
          <w:sz w:val="22"/>
          <w:szCs w:val="22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"https://cdshotels.it/"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https://cdshotels.it/</w:t>
      </w:r>
      <w:r>
        <w:rPr/>
        <w:fldChar w:fldCharType="end" w:fldLock="0"/>
      </w:r>
      <w:r>
        <w:rPr>
          <w:rFonts w:ascii="Verdana" w:hAnsi="Verdana"/>
          <w:sz w:val="22"/>
          <w:szCs w:val="22"/>
          <w:rtl w:val="0"/>
          <w:lang w:val="it-IT"/>
        </w:rPr>
        <w:t xml:space="preserve"> 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"mailto:info@cdshotels.it"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info@cdshotels.it</w:t>
      </w:r>
      <w:r>
        <w:rPr/>
        <w:fldChar w:fldCharType="end" w:fldLock="0"/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 xml:space="preserve"> - 0832351321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Veronica Cappennani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"mailto:cappennani@ferdeghinicomunicazione.it"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Sara Ferdeghini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"mailto:sara@ferdeghinicomunicazione.it"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>, cell: 335.7488592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</w:pPr>
      <w:r>
        <w:rPr>
          <w:rStyle w:val="Nessuno"/>
          <w:b w:val="1"/>
          <w:bCs w:val="1"/>
          <w:outline w:val="0"/>
          <w:color w:val="ab0a30"/>
          <w:u w:color="ab0a30"/>
          <w:rtl w:val="0"/>
          <w:lang w:val="it-IT"/>
          <w14:textFill>
            <w14:solidFill>
              <w14:srgbClr w14:val="AB0A30"/>
            </w14:solidFill>
          </w14:textFill>
        </w:rPr>
        <w:t xml:space="preserve">CDSHotels </w:t>
      </w:r>
      <w:r>
        <w:rPr>
          <w:rStyle w:val="Nessuno"/>
          <w:i w:val="1"/>
          <w:iCs w:val="1"/>
          <w:rtl w:val="0"/>
          <w:lang w:val="it-IT"/>
        </w:rPr>
        <w:t>una catena alberghiera con sede a Lecce, che gestisce e commercializza 12 strutture, di cui 5 hotel collection a 4 e 5* e 7 villaggi turistici. Le strutture sono dislocate tra Puglia e Sicilia, per un totale di 2.364 unit</w:t>
      </w:r>
      <w:r>
        <w:rPr>
          <w:rStyle w:val="Nessuno"/>
          <w:i w:val="1"/>
          <w:iCs w:val="1"/>
          <w:rtl w:val="0"/>
          <w:lang w:val="it-IT"/>
        </w:rPr>
        <w:t xml:space="preserve">à </w:t>
      </w:r>
      <w:r>
        <w:rPr>
          <w:rStyle w:val="Nessuno"/>
          <w:i w:val="1"/>
          <w:iCs w:val="1"/>
          <w:rtl w:val="0"/>
          <w:lang w:val="it-IT"/>
        </w:rPr>
        <w:t>abitative, 8.387 posti letto e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 xml:space="preserve"> 8 Spa, di cui il centro benessere 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“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Il Melograno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”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, presso l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’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hotel Basiliani, si distingue per essere il maggiore del Salento. Gli ospiti di CDSHotels vivono un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’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esperienza di ospitalit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italiana che si caratterizza nelle sue due principali linee di prodotto: gli hotel rappresentano indirizzi ideali per soggiorni in coppia, non solo durante la stagione estiva, infatti la proposta wellness e la natura selvaggia punteggiata di citt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à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-scrigno ne fanno destinazioni scenografiche da vivere tutto l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’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anno. Alle famiglie sono riservati programmi e attivit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dedicate in particolare nei villaggi turistici, in cui gli ospiti vengono accolti in un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’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atmosfera informale, potendo contare su servizi accurati e puntuali. Inoltre, CDSHotels si rivolge al segmento Mice, con 36 sale convegni e una proposta attuale destinata anche al Wedding e al Banqueting che, insieme al territorio circostante, si conferma un binomio vincente. La societ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opera ponendo particolare attenzione alla sostenibilit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ambientale, all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’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accessibilit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e all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’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innovazione tecnologica.</w:t>
      </w:r>
      <w:r>
        <w:rPr>
          <w:rStyle w:val="Nessuno"/>
          <w:shd w:val="clear" w:color="auto" w:fill="ffffff"/>
        </w:rPr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outline w:val="0"/>
        <w:color w:val="c21532"/>
        <w:u w:color="c21532"/>
        <w14:textFill>
          <w14:solidFill>
            <w14:srgbClr w14:val="C21532"/>
          </w14:solidFill>
        </w14:textFill>
      </w:rPr>
      <w:drawing xmlns:a="http://schemas.openxmlformats.org/drawingml/2006/main">
        <wp:inline distT="0" distB="0" distL="0" distR="0">
          <wp:extent cx="951231" cy="951231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231" cy="9512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Verdana" w:cs="Verdana" w:hAnsi="Verdana" w:eastAsia="Verdana"/>
      <w:sz w:val="22"/>
      <w:szCs w:val="22"/>
    </w:rPr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outline w:val="0"/>
      <w:color w:val="000000"/>
      <w:sz w:val="22"/>
      <w:szCs w:val="22"/>
      <w:u w:val="none" w:color="000000"/>
      <w14:textFill>
        <w14:solidFill>
          <w14:srgbClr w14:val="000000"/>
        </w14:solidFill>
      </w14:textFill>
    </w:rPr>
  </w:style>
  <w:style w:type="character" w:styleId="Hyperlink.2">
    <w:name w:val="Hyperlink.2"/>
    <w:basedOn w:val="Nessuno"/>
    <w:next w:val="Hyperlink.2"/>
    <w:rPr>
      <w:rFonts w:ascii="Verdana" w:cs="Verdana" w:hAnsi="Verdana" w:eastAsia="Verdana"/>
      <w:sz w:val="22"/>
      <w:szCs w:val="22"/>
      <w:u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