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Normal.0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MODALITA</w:t>
      </w: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ACTIVE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,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RELAXING, INUSUALI, AUTENTICHE E COINVOLGENTI FANNO RIVIVERE GLI ITINERARI PIU</w:t>
      </w:r>
      <w:r>
        <w:rPr>
          <w:rFonts w:ascii="Verdana" w:hAnsi="Verdana" w:hint="default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’ </w:t>
      </w: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CLASSICI: </w:t>
      </w: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SONO I TOUR EXPERIENCE DI MISTRAL TOUR OPERATOR E QUALITY GROUP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Torino, 1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7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 marzo 2022 -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Gli itinerari di viaggio diventano quasi sempre dei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classici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perch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sz w:val="22"/>
          <w:szCs w:val="22"/>
          <w:rtl w:val="0"/>
          <w:lang w:val="it-IT"/>
        </w:rPr>
        <w:t>capaci di mostrare ai viaggiatori i luoghi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belli, le mete imperdibili di una determinata destinazione. Ci sono per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</w:rPr>
        <w:t>modalit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differenti per percorrere un itinerario classico e renderlo attivo, glamour o relaxing. E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’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da questo presupposto che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Mistral Tour Operator e Quality Group hanno creato i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‘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Tour Experience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: itinerari classici impreziosisti da esperienze insolite e coinvolgenti.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EGITTO EXPERIENCE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>itinerario da Assuan a Luxor e Il Cairo non tralascia nessuna delle mete iconiche consigliate a chi desidera scoprire le meraviglie dell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antico Egitto, inclusa la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crociera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sul Nilo. Alle tappe classiche si aggiungono per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esperienze active. Si parte con il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trekking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nel deserto che dal monastero copto di S. Simeone conduce fino alle Tombe dei Nobili, per poi visitare la Valle dei Re e delle Regine a d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orso di mulo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e con una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 xml:space="preserve">passeggiata a cavallo </w:t>
      </w:r>
      <w:r>
        <w:rPr>
          <w:rFonts w:ascii="Verdana" w:hAnsi="Verdana"/>
          <w:sz w:val="22"/>
          <w:szCs w:val="22"/>
          <w:rtl w:val="0"/>
          <w:lang w:val="it-IT"/>
        </w:rPr>
        <w:t>nell</w:t>
      </w:r>
      <w:r>
        <w:rPr>
          <w:rFonts w:ascii="Verdana" w:hAnsi="Verdana" w:hint="default"/>
          <w:sz w:val="22"/>
          <w:szCs w:val="22"/>
          <w:rtl w:val="0"/>
          <w:lang w:val="it-IT"/>
        </w:rPr>
        <w:t>’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area desertica che circonda le piramidi di Giza. Non mancheranno occasioni per degustare la i migliori piatti di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street food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 del Il Cairo nel corso di una passeggiata tra il quarter ebraico e la zona del commercio delle spezie di Monsky. Per aggiungere un tocco glamour al viaggio ci sar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 xml:space="preserve">un aperitivo nei saloni affacciati sulle piramidi dello storico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</w:rPr>
        <w:t>Mena House Hotel</w:t>
      </w:r>
      <w:r>
        <w:rPr>
          <w:rFonts w:ascii="Verdana" w:hAnsi="Verdana"/>
          <w:sz w:val="22"/>
          <w:szCs w:val="22"/>
          <w:rtl w:val="0"/>
          <w:lang w:val="it-IT"/>
        </w:rPr>
        <w:t>, che ospit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ò </w:t>
      </w:r>
      <w:r>
        <w:rPr>
          <w:rFonts w:ascii="Verdana" w:hAnsi="Verdana"/>
          <w:sz w:val="22"/>
          <w:szCs w:val="22"/>
          <w:rtl w:val="0"/>
          <w:lang w:val="it-IT"/>
        </w:rPr>
        <w:t>personalit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</w:rPr>
        <w:t>leggendarie quali Agatha Christie, Charlie Chaplin e Winston Churchill.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Mistral Tour propone: per la partenza del 6 aprile quote da 1.769 </w:t>
      </w:r>
      <w:r>
        <w:rPr>
          <w:rFonts w:ascii="Verdana" w:hAnsi="Verdana" w:hint="default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€ </w:t>
      </w:r>
      <w:r>
        <w:rPr>
          <w:rFonts w:ascii="Verdana" w:hAnsi="Verdana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in camera doppia. Tour di grippo per un minimo di 4 persone.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b1f3e"/>
          <w:sz w:val="22"/>
          <w:szCs w:val="22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EXPERIENCE JORDAN</w:t>
      </w: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  <w:lang w:val="it-IT"/>
        </w:rPr>
        <w:t>Un itinerario di gruppo in Giordania che diventa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coinvolgente grazie alle esperienze insolite proposte.  Le tappe toccheranno le pi</w:t>
      </w:r>
      <w:r>
        <w:rPr>
          <w:rFonts w:ascii="Verdana" w:hAnsi="Verdana" w:hint="default"/>
          <w:sz w:val="22"/>
          <w:szCs w:val="22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</w:rPr>
        <w:t>importanti aree del paese: Ammam, Aqaba, Wadi Rum, Petra e il Mar Morto.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600" w:line="240" w:lineRule="auto"/>
        <w:jc w:val="both"/>
        <w:rPr>
          <w:rFonts w:ascii="Verdana" w:cs="Verdana" w:hAnsi="Verdana" w:eastAsia="Verdana"/>
          <w:b w:val="1"/>
          <w:bCs w:val="1"/>
          <w:sz w:val="22"/>
          <w:szCs w:val="22"/>
          <w:shd w:val="clear" w:color="auto" w:fill="f8f8f8"/>
        </w:rPr>
      </w:pP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 xml:space="preserve">Si inizia da un 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>trekking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 xml:space="preserve"> facile dal Castelo di Ajloun seguendo il bellissimo circuito del Al Ayoun Trail. Ad Amman si potr</w:t>
      </w:r>
      <w:r>
        <w:rPr>
          <w:rFonts w:ascii="Verdana" w:hAnsi="Verdana" w:hint="default"/>
          <w:sz w:val="22"/>
          <w:szCs w:val="22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 xml:space="preserve">degustare un favoloso aperitivo presso uno degli 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 xml:space="preserve">sky bar 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pi</w:t>
      </w:r>
      <w:r>
        <w:rPr>
          <w:rFonts w:ascii="Verdana" w:hAnsi="Verdana" w:hint="default"/>
          <w:sz w:val="22"/>
          <w:szCs w:val="22"/>
          <w:shd w:val="clear" w:color="auto" w:fill="f8f8f8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esclusivi della citt</w:t>
      </w:r>
      <w:r>
        <w:rPr>
          <w:rFonts w:ascii="Verdana" w:hAnsi="Verdana" w:hint="default"/>
          <w:sz w:val="22"/>
          <w:szCs w:val="22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e sul Mar Morto si avr</w:t>
      </w:r>
      <w:r>
        <w:rPr>
          <w:rFonts w:ascii="Verdana" w:hAnsi="Verdana" w:hint="default"/>
          <w:sz w:val="22"/>
          <w:szCs w:val="22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 xml:space="preserve">mezza giornata a disposizione per rilassarsi sulla 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>spiaggia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 xml:space="preserve"> prima di partire in 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 xml:space="preserve">4x4 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nel deserto per il pernottamento in un c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>ampo tendato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. A Petra si lascer</w:t>
      </w:r>
      <w:r>
        <w:rPr>
          <w:rFonts w:ascii="Verdana" w:hAnsi="Verdana" w:hint="default"/>
          <w:sz w:val="22"/>
          <w:szCs w:val="22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il normale circuito turistico per salire sull</w:t>
      </w:r>
      <w:r>
        <w:rPr>
          <w:rFonts w:ascii="Arial Unicode MS" w:hAnsi="Arial Unicode MS" w:hint="default"/>
          <w:sz w:val="22"/>
          <w:szCs w:val="22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>antica via processionale nabatea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, fino a raggiungere l</w:t>
      </w:r>
      <w:r>
        <w:rPr>
          <w:rFonts w:ascii="Arial Unicode MS" w:hAnsi="Arial Unicode MS" w:hint="default"/>
          <w:sz w:val="22"/>
          <w:szCs w:val="22"/>
          <w:shd w:val="clear" w:color="auto" w:fill="f8f8f8"/>
          <w:rtl w:val="0"/>
          <w:lang w:val="it-IT"/>
        </w:rPr>
        <w:t>’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Altare del Sacrificio che dalla sua posizione panoramica offre una vista spettacolare di Petra e del Jebel Harun. A Wadi al Sir, si far</w:t>
      </w:r>
      <w:r>
        <w:rPr>
          <w:rFonts w:ascii="Verdana" w:hAnsi="Verdana" w:hint="default"/>
          <w:sz w:val="22"/>
          <w:szCs w:val="22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sz w:val="22"/>
          <w:szCs w:val="22"/>
          <w:shd w:val="clear" w:color="auto" w:fill="f8f8f8"/>
          <w:rtl w:val="0"/>
          <w:lang w:val="it-IT"/>
        </w:rPr>
        <w:t>sosta in una cooperativa di donne giordane che gestiscono a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>ttivit</w:t>
      </w:r>
      <w:r>
        <w:rPr>
          <w:rFonts w:ascii="Verdana" w:hAnsi="Verdana" w:hint="default"/>
          <w:b w:val="1"/>
          <w:bCs w:val="1"/>
          <w:sz w:val="22"/>
          <w:szCs w:val="22"/>
          <w:shd w:val="clear" w:color="auto" w:fill="f8f8f8"/>
          <w:rtl w:val="0"/>
          <w:lang w:val="it-IT"/>
        </w:rPr>
        <w:t xml:space="preserve">à </w:t>
      </w:r>
      <w:r>
        <w:rPr>
          <w:rFonts w:ascii="Verdana" w:hAnsi="Verdana"/>
          <w:b w:val="1"/>
          <w:bCs w:val="1"/>
          <w:sz w:val="22"/>
          <w:szCs w:val="22"/>
          <w:shd w:val="clear" w:color="auto" w:fill="f8f8f8"/>
          <w:rtl w:val="0"/>
          <w:lang w:val="it-IT"/>
        </w:rPr>
        <w:t>artigianali e di aiuto a famiglie bisognose.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600" w:line="240" w:lineRule="auto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:shd w:val="clear" w:color="auto" w:fill="f8f8f8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2"/>
          <w:szCs w:val="22"/>
          <w:u w:color="bb1f3e"/>
          <w:shd w:val="clear" w:color="auto" w:fill="f8f8f8"/>
          <w:rtl w:val="0"/>
          <w:lang w:val="it-IT"/>
          <w14:textFill>
            <w14:solidFill>
              <w14:srgbClr w14:val="BB1F3E"/>
            </w14:solidFill>
          </w14:textFill>
        </w:rPr>
        <w:t>Quote su richiesta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bb1f3e"/>
          <w:sz w:val="22"/>
          <w:szCs w:val="22"/>
          <w:u w:color="bb1f3e"/>
          <w14:textFill>
            <w14:solidFill>
              <w14:srgbClr w14:val="BB1F3E"/>
            </w14:solidFill>
          </w14:textFill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600" w:line="240" w:lineRule="auto"/>
        <w:rPr>
          <w:rFonts w:ascii="Verdana" w:cs="Verdana" w:hAnsi="Verdana" w:eastAsia="Verdana"/>
          <w:sz w:val="30"/>
          <w:szCs w:val="30"/>
          <w:shd w:val="clear" w:color="auto" w:fill="f8f8f8"/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 lettori:</w:t>
      </w:r>
      <w:r>
        <w:rPr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 </w:t>
      </w:r>
      <w:r>
        <w:rPr>
          <w:rFonts w:ascii="Verdana" w:hAnsi="Verdana"/>
          <w:sz w:val="22"/>
          <w:szCs w:val="22"/>
          <w:rtl w:val="0"/>
          <w:lang w:val="it-IT"/>
        </w:rPr>
        <w:t>https://www.qualitygroup.it</w:t>
      </w: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14:textFill>
            <w14:solidFill>
              <w14:srgbClr w14:val="C00000"/>
            </w14:solidFill>
          </w14:textFill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ind w:right="35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Quality Group</w:t>
      </w:r>
    </w:p>
    <w:p>
      <w:pPr>
        <w:pStyle w:val="Normal.0"/>
        <w:ind w:right="35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Quality Group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un gruppo di tour operator nato nel 1999 cui fanno capo 9 brand:</w:t>
      </w:r>
      <w:r>
        <w:rPr>
          <w:rFonts w:ascii="Verdana" w:hAnsi="Verdana" w:hint="default"/>
          <w:sz w:val="20"/>
          <w:szCs w:val="20"/>
          <w:rtl w:val="0"/>
          <w:lang w:val="it-IT"/>
        </w:rPr>
        <w:t>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Mistral Tour, Il Diamante, Brasil World, America World, Exotic Tour, Latitud Patagonia, Discover Australia, Europa World e Italyscape. Ogni marchio 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</w:rPr>
        <w:t>specializzato in un</w:t>
      </w:r>
      <w:r>
        <w:rPr>
          <w:rFonts w:ascii="Verdana" w:hAnsi="Verdana" w:hint="default"/>
          <w:sz w:val="20"/>
          <w:szCs w:val="20"/>
          <w:rtl w:val="0"/>
          <w:lang w:val="it-IT"/>
        </w:rPr>
        <w:t>’</w:t>
      </w:r>
      <w:r>
        <w:rPr>
          <w:rFonts w:ascii="Verdana" w:hAnsi="Verdana"/>
          <w:sz w:val="20"/>
          <w:szCs w:val="20"/>
          <w:rtl w:val="0"/>
          <w:lang w:val="it-IT"/>
        </w:rPr>
        <w:t>area geografica del mondo, tutti accomunati dalla passione per il viaggio e dalla volont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di unire la qualit</w:t>
      </w:r>
      <w:r>
        <w:rPr>
          <w:rFonts w:ascii="Verdana" w:hAnsi="Verdana" w:hint="default"/>
          <w:sz w:val="20"/>
          <w:szCs w:val="20"/>
          <w:rtl w:val="0"/>
          <w:lang w:val="it-IT"/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</w:rPr>
        <w:t>e la cura del prodotto al dinamismo di una grande realt</w:t>
      </w:r>
      <w:r>
        <w:rPr>
          <w:rFonts w:ascii="Verdana" w:hAnsi="Verdana" w:hint="default"/>
          <w:sz w:val="20"/>
          <w:szCs w:val="20"/>
          <w:rtl w:val="0"/>
          <w:lang w:val="it-IT"/>
        </w:rPr>
        <w:t>à</w:t>
      </w:r>
      <w:r>
        <w:rPr>
          <w:rFonts w:ascii="Verdana" w:hAnsi="Verdana"/>
          <w:sz w:val="20"/>
          <w:szCs w:val="20"/>
          <w:rtl w:val="0"/>
          <w:lang w:val="it-IT"/>
        </w:rPr>
        <w:t xml:space="preserve">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"http://www.qualitygroup.it"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www.qualitygroup.it</w:t>
      </w:r>
      <w:r>
        <w:rPr/>
        <w:fldChar w:fldCharType="end" w:fldLock="0"/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</w:rPr>
      </w:pP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Ferdeghini Comunicazione Srl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Veronica Cappennani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333.8896148</w:t>
      </w:r>
    </w:p>
    <w:p>
      <w:pPr>
        <w:pStyle w:val="Normal.0"/>
        <w:shd w:val="clear" w:color="auto" w:fill="ffffff"/>
        <w:spacing w:line="240" w:lineRule="atLeast"/>
        <w:jc w:val="both"/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Sara Ferdeghini</w:t>
      </w:r>
    </w:p>
    <w:p>
      <w:pPr>
        <w:pStyle w:val="Normal.0"/>
        <w:shd w:val="clear" w:color="auto" w:fill="ffffff"/>
        <w:spacing w:line="240" w:lineRule="atLeast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, cell: 335.7488592</w:t>
      </w:r>
    </w:p>
    <w:sectPr>
      <w:headerReference w:type="default" r:id="rId4"/>
      <w:footerReference w:type="default" r:id="rId5"/>
      <w:pgSz w:w="11900" w:h="16840" w:orient="portrait"/>
      <w:pgMar w:top="2387" w:right="985" w:bottom="1134" w:left="85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90514" cy="1016248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514" cy="10162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rPr>
        <w:outline w:val="0"/>
        <w:color w:val="c21532"/>
        <w:u w:color="c21532"/>
        <w14:textFill>
          <w14:solidFill>
            <w14:srgbClr w14:val="C21532"/>
          </w14:solidFill>
        </w14:textFill>
      </w:rPr>
    </w:pPr>
  </w:p>
  <w:p>
    <w:pPr>
      <w:pStyle w:val="header"/>
      <w:jc w:val="center"/>
    </w:pPr>
    <w:r>
      <w:rPr>
        <w:rFonts w:ascii="Verdana" w:hAnsi="Verdana"/>
        <w:b w:val="1"/>
        <w:bCs w:val="1"/>
        <w:sz w:val="22"/>
        <w:szCs w:val="22"/>
      </w:rPr>
      <w:drawing xmlns:a="http://schemas.openxmlformats.org/drawingml/2006/main">
        <wp:inline distT="0" distB="0" distL="0" distR="0">
          <wp:extent cx="1485630" cy="1211360"/>
          <wp:effectExtent l="0" t="0" r="0" b="0"/>
          <wp:docPr id="1073741825" name="officeArt object" descr="Descrizione: Macintosh HD:Users:veronica:Desktop:logoQG_completo_HQ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escrizione: Macintosh HD:Users:veronica:Desktop:logoQG_completo_HQ.jpg" descr="Descrizione: Macintosh HD:Users:veronica:Desktop:logoQG_completo_HQ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630" cy="1211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